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F44F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spacing w:val="7"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建筑企业"十五五"生存指南：如何在行业寒冬中找到新增长点？</w:t>
      </w:r>
    </w:p>
    <w:p w14:paraId="5CB9DE49">
      <w:pPr>
        <w:pStyle w:val="2"/>
        <w:keepNext w:val="0"/>
        <w:keepLines w:val="0"/>
        <w:widowControl/>
        <w:suppressLineNumbers w:val="0"/>
      </w:pPr>
      <w:r>
        <w:rPr>
          <w:rFonts w:ascii="微软雅黑" w:hAnsi="微软雅黑" w:eastAsia="微软雅黑" w:cs="微软雅黑"/>
          <w:spacing w:val="7"/>
          <w:sz w:val="22"/>
          <w:szCs w:val="22"/>
        </w:rPr>
        <w:t>当建筑行业告别两位数增长的时代，2024年3.9%的增速敲响了警钟。"十五五"期间，建筑业将面临怎样的挑战与机遇？本文将用最新数据为您揭示行业真相，并给出破局之道。</w:t>
      </w:r>
    </w:p>
    <w:p w14:paraId="5F845CB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FFFFFF"/>
          <w:spacing w:val="7"/>
          <w:sz w:val="22"/>
          <w:szCs w:val="22"/>
          <w:shd w:val="clear" w:fill="021EAA"/>
        </w:rPr>
        <w:t> 一、行业现状：凛冬已至，寒意逼人</w:t>
      </w:r>
    </w:p>
    <w:p w14:paraId="206C32B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1. 增长失速已成定局</w:t>
      </w:r>
    </w:p>
    <w:p w14:paraId="78DE318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建筑业总产值增速从2021年11%"断崖式"下跌至2024年3.9%</w:t>
      </w:r>
    </w:p>
    <w:p w14:paraId="45DE774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房地产开发投资4年蒸发4.7万亿，相当于整个北京市3年的GDP</w:t>
      </w:r>
    </w:p>
    <w:p w14:paraId="2ADD153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新签合同额持续萎缩，行业"蛋糕"正在缩小</w:t>
      </w:r>
    </w:p>
    <w:p w14:paraId="0DDF41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322707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2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F8BEB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2. 利润薄如刀片</w:t>
      </w:r>
    </w:p>
    <w:p w14:paraId="43E1744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16.8万家企业争夺有限市场，比2021年新增4万家</w:t>
      </w:r>
    </w:p>
    <w:p w14:paraId="5357A50A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产值利润率跌破2.3%，100亿产值只能赚2.3亿利润</w:t>
      </w:r>
    </w:p>
    <w:p w14:paraId="2455E6A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资金成本持续攀升，不少项目已接近盈亏平衡点</w:t>
      </w:r>
    </w:p>
    <w:p w14:paraId="0B5C9BF0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3675" cy="3223895"/>
            <wp:effectExtent l="0" t="0" r="3175" b="1460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2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A93C6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FFFFFF"/>
          <w:spacing w:val="7"/>
          <w:sz w:val="22"/>
          <w:szCs w:val="22"/>
          <w:shd w:val="clear" w:fill="021EAA"/>
        </w:rPr>
        <w:t> 二、曙光初现：这些领域正在逆势增长</w:t>
      </w:r>
    </w:p>
    <w:p w14:paraId="03D2100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1. 基建"新三样"表现亮眼</w:t>
      </w:r>
    </w:p>
    <w:p w14:paraId="608B232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水利建设投资4年暴涨78.6%，国家水网建设加速</w:t>
      </w:r>
    </w:p>
    <w:p w14:paraId="2054985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水运投资突破2000亿，长江黄金水道建设持续加码</w:t>
      </w:r>
    </w:p>
    <w:p w14:paraId="4F5ACD9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民航机场建设保持稳定，枢纽机场改扩建需求旺盛</w:t>
      </w:r>
    </w:p>
    <w:p w14:paraId="61A427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2761615"/>
            <wp:effectExtent l="0" t="0" r="5715" b="63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AC19D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2. 新能源基建风口已至</w:t>
      </w:r>
    </w:p>
    <w:p w14:paraId="7127C1D5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光伏新增装机连续3年超25%增长，分布式光伏迎来爆发</w:t>
      </w:r>
    </w:p>
    <w:p w14:paraId="631411A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氢能年度投资保持7000亿高位，加氢站建设方兴未艾</w:t>
      </w:r>
    </w:p>
    <w:p w14:paraId="439F83EC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央企战略性新兴产业投资占比突破40%，释放强烈信号</w:t>
      </w:r>
    </w:p>
    <w:p w14:paraId="574E88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3419475"/>
            <wp:effectExtent l="0" t="0" r="3175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E7DB8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3. 数字新基建蓝海广阔</w:t>
      </w:r>
    </w:p>
    <w:p w14:paraId="5817C898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全国智算中心投资一年翻倍，IDC建设需求激增</w:t>
      </w:r>
    </w:p>
    <w:p w14:paraId="47ED3AC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智慧城市基础设施投资加速，CIM平台建设全面铺开</w:t>
      </w:r>
    </w:p>
    <w:p w14:paraId="4A1020E0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智能建造试点项目遍地开花，数字化转型势在必行</w:t>
      </w:r>
    </w:p>
    <w:p w14:paraId="6F3F8D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3234690"/>
            <wp:effectExtent l="0" t="0" r="2540" b="381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011163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FFFFFF"/>
          <w:spacing w:val="7"/>
          <w:sz w:val="22"/>
          <w:szCs w:val="22"/>
          <w:shd w:val="clear" w:fill="021EAA"/>
        </w:rPr>
        <w:t>三、破局之道："十五五"生存法则</w:t>
      </w:r>
    </w:p>
    <w:p w14:paraId="0A14D11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法则一：从"摊大饼"到"吃精粮"</w:t>
      </w:r>
    </w:p>
    <w:p w14:paraId="729B34B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案例：某央企主动退出低端房建市场，专注医疗建筑细分领域，利润率提升3个百分点</w:t>
      </w:r>
    </w:p>
    <w:p w14:paraId="2816F449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行动建议：建立业务"红黄绿灯"评估机制，坚决砍掉低效业务</w:t>
      </w:r>
    </w:p>
    <w:p w14:paraId="133E9FFC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9230" cy="3230880"/>
            <wp:effectExtent l="0" t="0" r="7620" b="7620"/>
            <wp:docPr id="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4C72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法则二：把数字化从"选择题"变成"必答题"</w:t>
      </w:r>
    </w:p>
    <w:p w14:paraId="1017847F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标杆实践：头部企业通过BIM+智慧工地，实现项目成本降低8%</w:t>
      </w:r>
    </w:p>
    <w:p w14:paraId="4FB4C4C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实施路径：先试点后推广，从单项应用到全链条数字化</w:t>
      </w:r>
    </w:p>
    <w:p w14:paraId="4CC74D4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法则三：向新能源要增长</w:t>
      </w:r>
    </w:p>
    <w:p w14:paraId="0168CA0E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成功模式："光伏+建筑"一体化解决方案已成新利润增长点</w:t>
      </w:r>
    </w:p>
    <w:p w14:paraId="0BCE9E0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布局策略：联合新能源企业，发展"投建营"一体化能力</w:t>
      </w:r>
    </w:p>
    <w:p w14:paraId="3A0C4948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1135" cy="3210560"/>
            <wp:effectExtent l="0" t="0" r="5715" b="889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F1297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法则四：出海寻找"新大陆"</w:t>
      </w:r>
    </w:p>
    <w:p w14:paraId="35B7EE3B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数据说话：对外承包工程新签合同额突破1.9万亿</w:t>
      </w:r>
    </w:p>
    <w:p w14:paraId="461B617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风险提示：重点布局"一带一路"优质市场，避免高风险地区</w:t>
      </w:r>
    </w:p>
    <w:p w14:paraId="78550CA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3217545"/>
            <wp:effectExtent l="0" t="0" r="2540" b="190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F66DC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b/>
          <w:bCs/>
          <w:color w:val="FFFFFF"/>
          <w:spacing w:val="7"/>
          <w:sz w:val="22"/>
          <w:szCs w:val="22"/>
          <w:shd w:val="clear" w:fill="021EAA"/>
        </w:rPr>
        <w:t>四、特别预警：这些雷区不要踩</w:t>
      </w:r>
    </w:p>
    <w:p w14:paraId="0091EE11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1. 盲目追热点：氢能等新兴领域需要专业技术积累</w:t>
      </w:r>
    </w:p>
    <w:p w14:paraId="37410BC4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2. 低价抢标：在2%的利润率下，一个项目亏损可能吃掉十个项目的利润</w:t>
      </w:r>
    </w:p>
    <w:p w14:paraId="3F141C9D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3. 忽视现金流：行业下行期，"活下去"比"做大"更重要</w:t>
      </w:r>
    </w:p>
    <w:p w14:paraId="2226AFF6">
      <w:pPr>
        <w:pStyle w:val="2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pacing w:val="7"/>
          <w:sz w:val="22"/>
          <w:szCs w:val="22"/>
        </w:rPr>
        <w:t>"十五五"不是终点，而是新起点。在这个最坏的时代，也是最好的时代，唯有认清形势、主动求变的企业，才能穿越周期，迎来新的春天。</w:t>
      </w:r>
    </w:p>
    <w:p w14:paraId="61A383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2280920"/>
            <wp:effectExtent l="0" t="0" r="3810" b="5080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6BA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B6AD1"/>
    <w:rsid w:val="537B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2025-06-30T08:01:00Z</dcterms:created>
  <dc:creator>王姝懿</dc:creator>
  <cp:lastModifiedBy>王姝懿</cp:lastModifiedBy>
  <dcterms:modified xsi:type="dcterms:W3CDTF">2025-06-30T08:03:10Z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33A5A93F619143A182356E1438EC9D4B_11</vt:lpwstr>
  </property>
  <property fmtid="{D5CDD505-2E9C-101B-9397-08002B2CF9AE}" pid="4" name="KSOTemplateDocerSaveRecord">
    <vt:lpwstr>eyJoZGlkIjoiNjRjN2E4NjA0Mjk0YWMzODQ4M2Y3NjExN2VjMzhjOTYiLCJ1c2VySWQiOiIyOTk1NjI2NjAifQ==</vt:lpwstr>
  </property>
</Properties>
</file>