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3578D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color w:val="000000"/>
          <w:sz w:val="24"/>
          <w:szCs w:val="24"/>
        </w:rPr>
      </w:pPr>
      <w:r>
        <w:rPr>
          <w:rFonts w:hint="eastAsia" w:ascii="微软雅黑" w:hAnsi="微软雅黑" w:eastAsia="微软雅黑" w:cs="微软雅黑"/>
          <w:i w:val="0"/>
          <w:iCs w:val="0"/>
          <w:caps w:val="0"/>
          <w:spacing w:val="8"/>
          <w:sz w:val="33"/>
          <w:szCs w:val="33"/>
          <w:bdr w:val="none" w:color="auto" w:sz="0" w:space="0"/>
          <w:shd w:val="clear" w:fill="FFFFFF"/>
        </w:rPr>
        <w:t>住建部新规：9月1日起，监理这个职责成为历史！</w:t>
      </w:r>
      <w:bookmarkStart w:id="0" w:name="_GoBack"/>
      <w:bookmarkEnd w:id="0"/>
    </w:p>
    <w:p w14:paraId="2ADC6BE1">
      <w:pPr>
        <w:pStyle w:val="4"/>
        <w:keepNext w:val="0"/>
        <w:keepLines w:val="0"/>
        <w:widowControl/>
        <w:suppressLineNumbers w:val="0"/>
        <w:spacing w:before="75" w:beforeAutospacing="0" w:after="225" w:afterAutospacing="0" w:line="368" w:lineRule="atLeast"/>
      </w:pPr>
      <w:r>
        <w:rPr>
          <w:rFonts w:ascii="微软雅黑" w:hAnsi="微软雅黑" w:eastAsia="微软雅黑" w:cs="微软雅黑"/>
          <w:color w:val="000000"/>
          <w:sz w:val="24"/>
          <w:szCs w:val="24"/>
        </w:rPr>
        <w:t>2024年12月，由住房城乡建设部组织编制的</w:t>
      </w:r>
      <w:r>
        <w:rPr>
          <w:rFonts w:hint="eastAsia" w:ascii="微软雅黑" w:hAnsi="微软雅黑" w:eastAsia="微软雅黑" w:cs="微软雅黑"/>
          <w:b/>
          <w:bCs/>
          <w:color w:val="000000"/>
          <w:sz w:val="24"/>
          <w:szCs w:val="24"/>
        </w:rPr>
        <w:t>《建设工程工程量清单计价标准》</w:t>
      </w:r>
      <w:r>
        <w:rPr>
          <w:rFonts w:hint="eastAsia" w:ascii="微软雅黑" w:hAnsi="微软雅黑" w:eastAsia="微软雅黑" w:cs="微软雅黑"/>
          <w:color w:val="000000"/>
          <w:sz w:val="24"/>
          <w:szCs w:val="24"/>
        </w:rPr>
        <w:t>发布，编号为GB/T50500-2024，</w:t>
      </w:r>
      <w:r>
        <w:rPr>
          <w:rFonts w:hint="eastAsia" w:ascii="微软雅黑" w:hAnsi="微软雅黑" w:eastAsia="微软雅黑" w:cs="微软雅黑"/>
          <w:b/>
          <w:bCs/>
          <w:color w:val="FF0000"/>
          <w:sz w:val="24"/>
          <w:szCs w:val="24"/>
        </w:rPr>
        <w:t>自2025年9月1日起实施</w:t>
      </w:r>
      <w:r>
        <w:rPr>
          <w:rFonts w:hint="eastAsia" w:ascii="微软雅黑" w:hAnsi="微软雅黑" w:eastAsia="微软雅黑" w:cs="微软雅黑"/>
          <w:color w:val="000000"/>
          <w:sz w:val="24"/>
          <w:szCs w:val="24"/>
        </w:rPr>
        <w:t>。原国家标准《建设工程工程量清单计价规范》（GB50500-2013）</w:t>
      </w:r>
      <w:r>
        <w:rPr>
          <w:rFonts w:hint="eastAsia" w:ascii="微软雅黑" w:hAnsi="微软雅黑" w:eastAsia="微软雅黑" w:cs="微软雅黑"/>
          <w:b/>
          <w:bCs/>
          <w:color w:val="FF0000"/>
          <w:sz w:val="24"/>
          <w:szCs w:val="24"/>
        </w:rPr>
        <w:t>同时废止</w:t>
      </w:r>
      <w:r>
        <w:rPr>
          <w:rFonts w:hint="eastAsia" w:ascii="微软雅黑" w:hAnsi="微软雅黑" w:eastAsia="微软雅黑" w:cs="微软雅黑"/>
          <w:color w:val="000000"/>
          <w:sz w:val="24"/>
          <w:szCs w:val="24"/>
        </w:rPr>
        <w:t>。</w:t>
      </w:r>
    </w:p>
    <w:p w14:paraId="0DF9AED8">
      <w:pPr>
        <w:pStyle w:val="4"/>
        <w:keepNext w:val="0"/>
        <w:keepLines w:val="0"/>
        <w:widowControl/>
        <w:suppressLineNumbers w:val="0"/>
        <w:spacing w:before="75" w:beforeAutospacing="0" w:after="225" w:afterAutospacing="0" w:line="368" w:lineRule="atLeast"/>
        <w:jc w:val="center"/>
      </w:pPr>
      <w:r>
        <w:rPr>
          <w:rFonts w:hint="eastAsia" w:ascii="微软雅黑" w:hAnsi="微软雅黑" w:eastAsia="微软雅黑" w:cs="微软雅黑"/>
          <w:b/>
          <w:bCs/>
          <w:color w:val="FF0000"/>
          <w:sz w:val="24"/>
          <w:szCs w:val="24"/>
          <w:shd w:val="clear" w:fill="FFFB00"/>
        </w:rPr>
        <w:t>新版标准删除了工程签证条款</w:t>
      </w:r>
      <w:r>
        <w:rPr>
          <w:rFonts w:hint="eastAsia" w:ascii="微软雅黑" w:hAnsi="微软雅黑" w:eastAsia="微软雅黑" w:cs="微软雅黑"/>
          <w:b/>
          <w:bCs/>
          <w:color w:val="000000"/>
          <w:sz w:val="24"/>
          <w:szCs w:val="24"/>
          <w:shd w:val="clear" w:fill="FFFB00"/>
        </w:rPr>
        <w:t>！</w:t>
      </w:r>
    </w:p>
    <w:p w14:paraId="45ABADED">
      <w:pPr>
        <w:pStyle w:val="4"/>
        <w:keepNext w:val="0"/>
        <w:keepLines w:val="0"/>
        <w:widowControl/>
        <w:suppressLineNumbers w:val="0"/>
        <w:spacing w:before="75" w:beforeAutospacing="0" w:after="225" w:afterAutospacing="0" w:line="368" w:lineRule="atLeast"/>
        <w:jc w:val="center"/>
      </w:pPr>
      <w:r>
        <w:rPr>
          <w:rFonts w:ascii="微软雅黑" w:hAnsi="微软雅黑" w:eastAsia="微软雅黑" w:cs="微软雅黑"/>
          <w:b/>
          <w:bCs/>
          <w:i w:val="0"/>
          <w:iCs w:val="0"/>
          <w:caps w:val="0"/>
          <w:color w:val="000000"/>
          <w:spacing w:val="30"/>
          <w:sz w:val="24"/>
          <w:szCs w:val="24"/>
          <w:shd w:val="clear" w:fill="FFFB00"/>
        </w:rPr>
        <w:t>监理这一项重要职责将成为历史！</w:t>
      </w:r>
    </w:p>
    <w:p w14:paraId="276086D4">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6690" cy="4330700"/>
            <wp:effectExtent l="0" t="0" r="10160" b="1270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6690" cy="4330700"/>
                    </a:xfrm>
                    <a:prstGeom prst="rect">
                      <a:avLst/>
                    </a:prstGeom>
                    <a:noFill/>
                    <a:ln w="9525">
                      <a:noFill/>
                    </a:ln>
                  </pic:spPr>
                </pic:pic>
              </a:graphicData>
            </a:graphic>
          </wp:inline>
        </w:drawing>
      </w:r>
      <w:r>
        <w:rPr>
          <w:rFonts w:ascii="宋体" w:hAnsi="宋体" w:eastAsia="宋体" w:cs="宋体"/>
          <w:kern w:val="0"/>
          <w:sz w:val="24"/>
          <w:szCs w:val="24"/>
          <w:vertAlign w:val="baseline"/>
          <w:lang w:val="en-US" w:eastAsia="zh-CN" w:bidi="ar"/>
        </w:rPr>
        <w:drawing>
          <wp:inline distT="0" distB="0" distL="114300" distR="114300">
            <wp:extent cx="4924425" cy="2771775"/>
            <wp:effectExtent l="0" t="0" r="952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924425" cy="2771775"/>
                    </a:xfrm>
                    <a:prstGeom prst="rect">
                      <a:avLst/>
                    </a:prstGeom>
                    <a:noFill/>
                    <a:ln w="9525">
                      <a:noFill/>
                    </a:ln>
                  </pic:spPr>
                </pic:pic>
              </a:graphicData>
            </a:graphic>
          </wp:inline>
        </w:drawing>
      </w:r>
    </w:p>
    <w:p w14:paraId="2A66D2C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8"/>
          <w:i/>
          <w:iCs/>
          <w:bdr w:val="none" w:color="auto" w:sz="0" w:space="0"/>
        </w:rPr>
        <w:t>原工程签证事项内容被重新定义！</w:t>
      </w:r>
    </w:p>
    <w:p w14:paraId="7D8FEB53">
      <w:pPr>
        <w:keepNext w:val="0"/>
        <w:keepLines w:val="0"/>
        <w:widowControl/>
        <w:suppressLineNumbers w:val="0"/>
        <w:jc w:val="left"/>
      </w:pPr>
      <w:r>
        <w:rPr>
          <w:rFonts w:hint="eastAsia" w:ascii="微软雅黑" w:hAnsi="微软雅黑" w:eastAsia="微软雅黑" w:cs="微软雅黑"/>
          <w:spacing w:val="8"/>
          <w:kern w:val="0"/>
          <w:sz w:val="24"/>
          <w:szCs w:val="24"/>
          <w:lang w:val="en-US" w:eastAsia="zh-CN" w:bidi="ar"/>
        </w:rPr>
        <w:t>工程签证审核历来是监理的职责之一。</w:t>
      </w:r>
      <w:r>
        <w:rPr>
          <w:rFonts w:hint="eastAsia" w:ascii="微软雅黑" w:hAnsi="微软雅黑" w:eastAsia="微软雅黑" w:cs="微软雅黑"/>
          <w:color w:val="FF0000"/>
          <w:spacing w:val="8"/>
          <w:kern w:val="0"/>
          <w:sz w:val="24"/>
          <w:szCs w:val="24"/>
          <w:lang w:val="en-US" w:eastAsia="zh-CN" w:bidi="ar"/>
        </w:rPr>
        <w:t>新标准取消了工程签证审核权</w:t>
      </w:r>
      <w:r>
        <w:rPr>
          <w:rFonts w:hint="eastAsia" w:ascii="微软雅黑" w:hAnsi="微软雅黑" w:eastAsia="微软雅黑" w:cs="微软雅黑"/>
          <w:spacing w:val="8"/>
          <w:kern w:val="0"/>
          <w:sz w:val="24"/>
          <w:szCs w:val="24"/>
          <w:lang w:val="en-US" w:eastAsia="zh-CN" w:bidi="ar"/>
        </w:rPr>
        <w:t>，这一变化引发了广泛的讨论。此次变更的原因在于</w:t>
      </w:r>
      <w:r>
        <w:rPr>
          <w:rStyle w:val="7"/>
          <w:rFonts w:hint="eastAsia" w:ascii="微软雅黑" w:hAnsi="微软雅黑" w:eastAsia="微软雅黑" w:cs="微软雅黑"/>
          <w:spacing w:val="8"/>
          <w:kern w:val="0"/>
          <w:sz w:val="24"/>
          <w:szCs w:val="24"/>
          <w:lang w:val="en-US" w:eastAsia="zh-CN" w:bidi="ar"/>
        </w:rPr>
        <w:t>新版标准对工程变更、索赔、计日工以及新增工程进行了重新定义</w:t>
      </w:r>
      <w:r>
        <w:rPr>
          <w:rFonts w:hint="eastAsia" w:ascii="微软雅黑" w:hAnsi="微软雅黑" w:eastAsia="微软雅黑" w:cs="微软雅黑"/>
          <w:spacing w:val="8"/>
          <w:kern w:val="0"/>
          <w:sz w:val="24"/>
          <w:szCs w:val="24"/>
          <w:lang w:val="en-US" w:eastAsia="zh-CN" w:bidi="ar"/>
        </w:rPr>
        <w:t>。监理原本负责的工作内容，现在被重新分类。</w:t>
      </w:r>
    </w:p>
    <w:p w14:paraId="2FFEE349">
      <w:pPr>
        <w:keepNext w:val="0"/>
        <w:keepLines w:val="0"/>
        <w:widowControl/>
        <w:suppressLineNumbers w:val="0"/>
        <w:spacing w:after="240" w:afterAutospacing="0"/>
        <w:jc w:val="left"/>
      </w:pPr>
      <w:r>
        <w:rPr>
          <w:rStyle w:val="7"/>
          <w:rFonts w:ascii="宋体" w:hAnsi="宋体" w:eastAsia="宋体" w:cs="宋体"/>
          <w:kern w:val="0"/>
          <w:sz w:val="24"/>
          <w:szCs w:val="24"/>
          <w:lang w:val="en-US" w:eastAsia="zh-CN" w:bidi="ar"/>
        </w:rPr>
        <w:t>一、工程变更的流程简化</w:t>
      </w:r>
    </w:p>
    <w:p w14:paraId="2B4A3459">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z w:val="24"/>
          <w:szCs w:val="24"/>
        </w:rPr>
        <w:t>1、直接确认机制</w:t>
      </w:r>
    </w:p>
    <w:p w14:paraId="638CCE67">
      <w:pPr>
        <w:keepNext w:val="0"/>
        <w:keepLines w:val="0"/>
        <w:widowControl/>
        <w:numPr>
          <w:ilvl w:val="0"/>
          <w:numId w:val="1"/>
        </w:numPr>
        <w:suppressLineNumbers w:val="0"/>
        <w:spacing w:before="0" w:beforeAutospacing="1" w:after="0" w:afterAutospacing="1"/>
        <w:ind w:left="0" w:hanging="360"/>
      </w:pPr>
    </w:p>
    <w:p w14:paraId="2F0E1C3E">
      <w:pPr>
        <w:pStyle w:val="4"/>
        <w:keepNext w:val="0"/>
        <w:keepLines w:val="0"/>
        <w:widowControl/>
        <w:suppressLineNumbers w:val="0"/>
        <w:spacing w:before="75" w:beforeAutospacing="0" w:after="225" w:afterAutospacing="0" w:line="328" w:lineRule="atLeast"/>
        <w:ind w:left="0"/>
      </w:pPr>
      <w:r>
        <w:rPr>
          <w:rStyle w:val="7"/>
          <w:rFonts w:hint="eastAsia" w:ascii="微软雅黑" w:hAnsi="微软雅黑" w:eastAsia="微软雅黑" w:cs="微软雅黑"/>
          <w:sz w:val="24"/>
          <w:szCs w:val="24"/>
          <w:bdr w:val="none" w:color="auto" w:sz="0" w:space="0"/>
          <w:shd w:val="clear" w:fill="FFFED5"/>
        </w:rPr>
        <w:t>变更计量与计价由发承包双方直接确认</w:t>
      </w:r>
      <w:r>
        <w:rPr>
          <w:rFonts w:hint="eastAsia" w:ascii="微软雅黑" w:hAnsi="微软雅黑" w:eastAsia="微软雅黑" w:cs="微软雅黑"/>
          <w:sz w:val="24"/>
          <w:szCs w:val="24"/>
          <w:bdr w:val="none" w:color="auto" w:sz="0" w:space="0"/>
        </w:rPr>
        <w:t>，</w:t>
      </w:r>
      <w:r>
        <w:rPr>
          <w:rStyle w:val="7"/>
          <w:rFonts w:hint="eastAsia" w:ascii="微软雅黑" w:hAnsi="微软雅黑" w:eastAsia="微软雅黑" w:cs="微软雅黑"/>
          <w:color w:val="FF0000"/>
          <w:sz w:val="24"/>
          <w:szCs w:val="24"/>
          <w:bdr w:val="none" w:color="auto" w:sz="0" w:space="0"/>
        </w:rPr>
        <w:t>删除原规范中“工程签证条款”</w:t>
      </w:r>
      <w:r>
        <w:rPr>
          <w:rFonts w:hint="eastAsia" w:ascii="微软雅黑" w:hAnsi="微软雅黑" w:eastAsia="微软雅黑" w:cs="微软雅黑"/>
          <w:sz w:val="24"/>
          <w:szCs w:val="24"/>
          <w:bdr w:val="none" w:color="auto" w:sz="0" w:space="0"/>
        </w:rPr>
        <w:t>，</w:t>
      </w:r>
      <w:r>
        <w:rPr>
          <w:rFonts w:hint="eastAsia" w:ascii="微软雅黑" w:hAnsi="微软雅黑" w:eastAsia="微软雅黑" w:cs="微软雅黑"/>
          <w:b/>
          <w:bCs/>
          <w:color w:val="FF0000"/>
          <w:sz w:val="24"/>
          <w:szCs w:val="24"/>
          <w:bdr w:val="none" w:color="auto" w:sz="0" w:space="0"/>
        </w:rPr>
        <w:t>弱化监理审核环节</w:t>
      </w:r>
      <w:r>
        <w:rPr>
          <w:rFonts w:hint="eastAsia" w:ascii="微软雅黑" w:hAnsi="微软雅黑" w:eastAsia="微软雅黑" w:cs="微软雅黑"/>
          <w:sz w:val="24"/>
          <w:szCs w:val="24"/>
          <w:bdr w:val="none" w:color="auto" w:sz="0" w:space="0"/>
        </w:rPr>
        <w:t>。</w:t>
      </w:r>
    </w:p>
    <w:p w14:paraId="34CA502A">
      <w:pPr>
        <w:keepNext w:val="0"/>
        <w:keepLines w:val="0"/>
        <w:widowControl/>
        <w:numPr>
          <w:ilvl w:val="0"/>
          <w:numId w:val="1"/>
        </w:numPr>
        <w:suppressLineNumbers w:val="0"/>
        <w:spacing w:before="0" w:beforeAutospacing="1" w:after="0" w:afterAutospacing="1"/>
        <w:ind w:left="0" w:hanging="360"/>
      </w:pPr>
    </w:p>
    <w:p w14:paraId="3E87DAEA">
      <w:pPr>
        <w:keepNext w:val="0"/>
        <w:keepLines w:val="0"/>
        <w:widowControl/>
        <w:numPr>
          <w:ilvl w:val="0"/>
          <w:numId w:val="1"/>
        </w:numPr>
        <w:suppressLineNumbers w:val="0"/>
        <w:spacing w:before="0" w:beforeAutospacing="1" w:after="0" w:afterAutospacing="1"/>
        <w:ind w:left="0" w:hanging="360"/>
      </w:pPr>
    </w:p>
    <w:p w14:paraId="53181D9D">
      <w:pPr>
        <w:pStyle w:val="4"/>
        <w:keepNext w:val="0"/>
        <w:keepLines w:val="0"/>
        <w:widowControl/>
        <w:suppressLineNumbers w:val="0"/>
        <w:spacing w:before="75" w:beforeAutospacing="0" w:after="225" w:afterAutospacing="0" w:line="368" w:lineRule="atLeast"/>
        <w:ind w:left="0"/>
      </w:pPr>
      <w:r>
        <w:rPr>
          <w:rFonts w:hint="eastAsia" w:ascii="微软雅黑" w:hAnsi="微软雅黑" w:eastAsia="微软雅黑" w:cs="微软雅黑"/>
          <w:sz w:val="24"/>
          <w:szCs w:val="24"/>
          <w:bdr w:val="none" w:color="auto" w:sz="0" w:space="0"/>
        </w:rPr>
        <w:t>变更引起的措施项目费用调整需双方协商，实施方案需发包人批准。</w:t>
      </w:r>
    </w:p>
    <w:p w14:paraId="6481E211">
      <w:pPr>
        <w:keepNext w:val="0"/>
        <w:keepLines w:val="0"/>
        <w:widowControl/>
        <w:numPr>
          <w:ilvl w:val="0"/>
          <w:numId w:val="1"/>
        </w:numPr>
        <w:suppressLineNumbers w:val="0"/>
        <w:spacing w:before="0" w:beforeAutospacing="1" w:after="0" w:afterAutospacing="1"/>
        <w:ind w:left="0" w:hanging="360"/>
      </w:pPr>
    </w:p>
    <w:p w14:paraId="3A610B76">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73040" cy="732155"/>
            <wp:effectExtent l="0" t="0" r="3810" b="1079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273040" cy="732155"/>
                    </a:xfrm>
                    <a:prstGeom prst="rect">
                      <a:avLst/>
                    </a:prstGeom>
                    <a:noFill/>
                    <a:ln w="9525">
                      <a:noFill/>
                    </a:ln>
                  </pic:spPr>
                </pic:pic>
              </a:graphicData>
            </a:graphic>
          </wp:inline>
        </w:drawing>
      </w:r>
    </w:p>
    <w:p w14:paraId="7AD48AD8">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z w:val="24"/>
          <w:szCs w:val="24"/>
        </w:rPr>
        <w:t>2、风险分担明确化</w:t>
      </w:r>
    </w:p>
    <w:p w14:paraId="40DBEC7E">
      <w:pPr>
        <w:keepNext w:val="0"/>
        <w:keepLines w:val="0"/>
        <w:widowControl/>
        <w:numPr>
          <w:ilvl w:val="0"/>
          <w:numId w:val="2"/>
        </w:numPr>
        <w:suppressLineNumbers w:val="0"/>
        <w:spacing w:before="0" w:beforeAutospacing="1" w:after="0" w:afterAutospacing="1"/>
        <w:ind w:left="0" w:hanging="360"/>
      </w:pPr>
    </w:p>
    <w:p w14:paraId="7B9A1C30">
      <w:pPr>
        <w:pStyle w:val="4"/>
        <w:keepNext w:val="0"/>
        <w:keepLines w:val="0"/>
        <w:widowControl/>
        <w:suppressLineNumbers w:val="0"/>
        <w:spacing w:before="75" w:beforeAutospacing="0" w:after="225" w:afterAutospacing="0" w:line="368" w:lineRule="atLeast"/>
        <w:ind w:left="0"/>
      </w:pPr>
      <w:r>
        <w:rPr>
          <w:rFonts w:hint="eastAsia" w:ascii="微软雅黑" w:hAnsi="微软雅黑" w:eastAsia="微软雅黑" w:cs="微软雅黑"/>
          <w:color w:val="FF0000"/>
          <w:sz w:val="24"/>
          <w:szCs w:val="24"/>
          <w:bdr w:val="none" w:color="auto" w:sz="0" w:space="0"/>
        </w:rPr>
        <w:t>发包人原因导致的变更由发包人承担费用及工期调整，承包人原因则由承包人自行承担</w:t>
      </w:r>
      <w:r>
        <w:rPr>
          <w:rFonts w:hint="eastAsia" w:ascii="微软雅黑" w:hAnsi="微软雅黑" w:eastAsia="微软雅黑" w:cs="微软雅黑"/>
          <w:sz w:val="24"/>
          <w:szCs w:val="24"/>
          <w:bdr w:val="none" w:color="auto" w:sz="0" w:space="0"/>
        </w:rPr>
        <w:t>。</w:t>
      </w:r>
    </w:p>
    <w:p w14:paraId="062EEF87">
      <w:pPr>
        <w:keepNext w:val="0"/>
        <w:keepLines w:val="0"/>
        <w:widowControl/>
        <w:numPr>
          <w:ilvl w:val="0"/>
          <w:numId w:val="2"/>
        </w:numPr>
        <w:suppressLineNumbers w:val="0"/>
        <w:spacing w:before="0" w:beforeAutospacing="1" w:after="0" w:afterAutospacing="1"/>
        <w:ind w:left="0" w:hanging="360"/>
      </w:pPr>
    </w:p>
    <w:p w14:paraId="64E49FAD">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69865" cy="393700"/>
            <wp:effectExtent l="0" t="0" r="6985" b="635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5269865" cy="393700"/>
                    </a:xfrm>
                    <a:prstGeom prst="rect">
                      <a:avLst/>
                    </a:prstGeom>
                    <a:noFill/>
                    <a:ln w="9525">
                      <a:noFill/>
                    </a:ln>
                  </pic:spPr>
                </pic:pic>
              </a:graphicData>
            </a:graphic>
          </wp:inline>
        </w:drawing>
      </w:r>
    </w:p>
    <w:p w14:paraId="3A550998">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67325" cy="4457065"/>
            <wp:effectExtent l="0" t="0" r="9525" b="63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5267325" cy="4457065"/>
                    </a:xfrm>
                    <a:prstGeom prst="rect">
                      <a:avLst/>
                    </a:prstGeom>
                    <a:noFill/>
                    <a:ln w="9525">
                      <a:noFill/>
                    </a:ln>
                  </pic:spPr>
                </pic:pic>
              </a:graphicData>
            </a:graphic>
          </wp:inline>
        </w:drawing>
      </w:r>
    </w:p>
    <w:p w14:paraId="60C7CCE6">
      <w:pPr>
        <w:keepNext w:val="0"/>
        <w:keepLines w:val="0"/>
        <w:widowControl/>
        <w:suppressLineNumbers w:val="0"/>
        <w:spacing w:after="240" w:afterAutospacing="0"/>
        <w:jc w:val="left"/>
      </w:pPr>
      <w:r>
        <w:rPr>
          <w:rStyle w:val="7"/>
          <w:rFonts w:ascii="宋体" w:hAnsi="宋体" w:eastAsia="宋体" w:cs="宋体"/>
          <w:kern w:val="0"/>
          <w:sz w:val="24"/>
          <w:szCs w:val="24"/>
          <w:lang w:val="en-US" w:eastAsia="zh-CN" w:bidi="ar"/>
        </w:rPr>
        <w:t>二、</w:t>
      </w:r>
      <w:r>
        <w:rPr>
          <w:rFonts w:ascii="宋体" w:hAnsi="宋体" w:eastAsia="宋体" w:cs="宋体"/>
          <w:kern w:val="0"/>
          <w:sz w:val="24"/>
          <w:szCs w:val="24"/>
          <w:lang w:val="en-US" w:eastAsia="zh-CN" w:bidi="ar"/>
        </w:rPr>
        <w:t>工程索赔</w:t>
      </w:r>
      <w:r>
        <w:rPr>
          <w:rStyle w:val="7"/>
          <w:rFonts w:ascii="宋体" w:hAnsi="宋体" w:eastAsia="宋体" w:cs="宋体"/>
          <w:kern w:val="0"/>
          <w:sz w:val="24"/>
          <w:szCs w:val="24"/>
          <w:lang w:val="en-US" w:eastAsia="zh-CN" w:bidi="ar"/>
        </w:rPr>
        <w:t>程序优化、责任明晰</w:t>
      </w:r>
    </w:p>
    <w:p w14:paraId="78DAA056">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z w:val="24"/>
          <w:szCs w:val="24"/>
        </w:rPr>
        <w:t>1、索赔时效与证据要求</w:t>
      </w:r>
    </w:p>
    <w:p w14:paraId="131FDDBE">
      <w:pPr>
        <w:keepNext w:val="0"/>
        <w:keepLines w:val="0"/>
        <w:widowControl/>
        <w:numPr>
          <w:ilvl w:val="0"/>
          <w:numId w:val="3"/>
        </w:numPr>
        <w:suppressLineNumbers w:val="0"/>
        <w:spacing w:before="0" w:beforeAutospacing="1" w:after="0" w:afterAutospacing="1"/>
        <w:ind w:left="0" w:hanging="360"/>
      </w:pPr>
    </w:p>
    <w:p w14:paraId="1B62D236">
      <w:pPr>
        <w:pStyle w:val="4"/>
        <w:keepNext w:val="0"/>
        <w:keepLines w:val="0"/>
        <w:widowControl/>
        <w:suppressLineNumbers w:val="0"/>
        <w:spacing w:before="75" w:beforeAutospacing="0" w:after="225" w:afterAutospacing="0" w:line="368" w:lineRule="atLeast"/>
        <w:ind w:left="0"/>
      </w:pPr>
      <w:r>
        <w:rPr>
          <w:rFonts w:hint="eastAsia" w:ascii="微软雅黑" w:hAnsi="微软雅黑" w:eastAsia="微软雅黑" w:cs="微软雅黑"/>
          <w:sz w:val="24"/>
          <w:szCs w:val="24"/>
          <w:bdr w:val="none" w:color="auto" w:sz="0" w:space="0"/>
        </w:rPr>
        <w:t>索赔需在</w:t>
      </w:r>
      <w:r>
        <w:rPr>
          <w:rFonts w:hint="eastAsia" w:ascii="微软雅黑" w:hAnsi="微软雅黑" w:eastAsia="微软雅黑" w:cs="微软雅黑"/>
          <w:color w:val="FF0000"/>
          <w:sz w:val="24"/>
          <w:szCs w:val="24"/>
          <w:bdr w:val="none" w:color="auto" w:sz="0" w:space="0"/>
        </w:rPr>
        <w:t>事件发生后28天内</w:t>
      </w:r>
      <w:r>
        <w:rPr>
          <w:rFonts w:hint="eastAsia" w:ascii="微软雅黑" w:hAnsi="微软雅黑" w:eastAsia="微软雅黑" w:cs="微软雅黑"/>
          <w:sz w:val="24"/>
          <w:szCs w:val="24"/>
          <w:bdr w:val="none" w:color="auto" w:sz="0" w:space="0"/>
        </w:rPr>
        <w:t>提出，</w:t>
      </w:r>
      <w:r>
        <w:rPr>
          <w:rFonts w:hint="eastAsia" w:ascii="微软雅黑" w:hAnsi="微软雅黑" w:eastAsia="微软雅黑" w:cs="微软雅黑"/>
          <w:color w:val="FF0000"/>
          <w:sz w:val="24"/>
          <w:szCs w:val="24"/>
          <w:bdr w:val="none" w:color="auto" w:sz="0" w:space="0"/>
        </w:rPr>
        <w:t>并附详细依据及证明材料</w:t>
      </w:r>
      <w:r>
        <w:rPr>
          <w:rFonts w:hint="eastAsia" w:ascii="微软雅黑" w:hAnsi="微软雅黑" w:eastAsia="微软雅黑" w:cs="微软雅黑"/>
          <w:sz w:val="24"/>
          <w:szCs w:val="24"/>
          <w:bdr w:val="none" w:color="auto" w:sz="0" w:space="0"/>
        </w:rPr>
        <w:t>。</w:t>
      </w:r>
    </w:p>
    <w:p w14:paraId="1CCE563D">
      <w:pPr>
        <w:keepNext w:val="0"/>
        <w:keepLines w:val="0"/>
        <w:widowControl/>
        <w:numPr>
          <w:ilvl w:val="0"/>
          <w:numId w:val="3"/>
        </w:numPr>
        <w:suppressLineNumbers w:val="0"/>
        <w:spacing w:before="0" w:beforeAutospacing="1" w:after="0" w:afterAutospacing="1"/>
        <w:ind w:left="0" w:hanging="360"/>
      </w:pPr>
    </w:p>
    <w:p w14:paraId="08E193CD">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69230" cy="681990"/>
            <wp:effectExtent l="0" t="0" r="7620" b="381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269230" cy="681990"/>
                    </a:xfrm>
                    <a:prstGeom prst="rect">
                      <a:avLst/>
                    </a:prstGeom>
                    <a:noFill/>
                    <a:ln w="9525">
                      <a:noFill/>
                    </a:ln>
                  </pic:spPr>
                </pic:pic>
              </a:graphicData>
            </a:graphic>
          </wp:inline>
        </w:drawing>
      </w:r>
    </w:p>
    <w:p w14:paraId="15575686">
      <w:pPr>
        <w:keepNext w:val="0"/>
        <w:keepLines w:val="0"/>
        <w:widowControl/>
        <w:numPr>
          <w:ilvl w:val="0"/>
          <w:numId w:val="4"/>
        </w:numPr>
        <w:suppressLineNumbers w:val="0"/>
        <w:spacing w:before="0" w:beforeAutospacing="1" w:after="0" w:afterAutospacing="1"/>
        <w:ind w:left="0" w:hanging="360"/>
      </w:pPr>
    </w:p>
    <w:p w14:paraId="659E7BEA">
      <w:pPr>
        <w:pStyle w:val="4"/>
        <w:keepNext w:val="0"/>
        <w:keepLines w:val="0"/>
        <w:widowControl/>
        <w:suppressLineNumbers w:val="0"/>
        <w:spacing w:before="75" w:beforeAutospacing="0" w:after="225" w:afterAutospacing="0" w:line="368" w:lineRule="atLeast"/>
        <w:ind w:left="0"/>
      </w:pPr>
      <w:r>
        <w:rPr>
          <w:rFonts w:hint="eastAsia" w:ascii="微软雅黑" w:hAnsi="微软雅黑" w:eastAsia="微软雅黑" w:cs="微软雅黑"/>
          <w:sz w:val="24"/>
          <w:szCs w:val="24"/>
          <w:bdr w:val="none" w:color="auto" w:sz="0" w:space="0"/>
        </w:rPr>
        <w:t>发包人</w:t>
      </w:r>
      <w:r>
        <w:rPr>
          <w:rFonts w:hint="eastAsia" w:ascii="微软雅黑" w:hAnsi="微软雅黑" w:eastAsia="微软雅黑" w:cs="微软雅黑"/>
          <w:spacing w:val="8"/>
          <w:sz w:val="24"/>
          <w:szCs w:val="24"/>
          <w:u w:val="single"/>
          <w:bdr w:val="none" w:color="auto" w:sz="0" w:space="0"/>
        </w:rPr>
        <w:t>逾期未回复视为认可索赔请求</w:t>
      </w:r>
      <w:r>
        <w:rPr>
          <w:rFonts w:hint="eastAsia" w:ascii="微软雅黑" w:hAnsi="微软雅黑" w:eastAsia="微软雅黑" w:cs="微软雅黑"/>
          <w:sz w:val="24"/>
          <w:szCs w:val="24"/>
          <w:bdr w:val="none" w:color="auto" w:sz="0" w:space="0"/>
        </w:rPr>
        <w:t>，减少争议。</w:t>
      </w:r>
    </w:p>
    <w:p w14:paraId="0F90890D">
      <w:pPr>
        <w:keepNext w:val="0"/>
        <w:keepLines w:val="0"/>
        <w:widowControl/>
        <w:numPr>
          <w:ilvl w:val="0"/>
          <w:numId w:val="4"/>
        </w:numPr>
        <w:suppressLineNumbers w:val="0"/>
        <w:spacing w:before="0" w:beforeAutospacing="1" w:after="0" w:afterAutospacing="1"/>
        <w:ind w:left="0" w:hanging="360"/>
      </w:pPr>
    </w:p>
    <w:p w14:paraId="4B34BF98">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67325" cy="1253490"/>
            <wp:effectExtent l="0" t="0" r="9525" b="381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5267325" cy="1253490"/>
                    </a:xfrm>
                    <a:prstGeom prst="rect">
                      <a:avLst/>
                    </a:prstGeom>
                    <a:noFill/>
                    <a:ln w="9525">
                      <a:noFill/>
                    </a:ln>
                  </pic:spPr>
                </pic:pic>
              </a:graphicData>
            </a:graphic>
          </wp:inline>
        </w:drawing>
      </w:r>
    </w:p>
    <w:p w14:paraId="71EFF5DF">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pacing w:val="0"/>
          <w:sz w:val="24"/>
          <w:szCs w:val="24"/>
        </w:rPr>
        <w:t>2、损失与费用分类</w:t>
      </w:r>
    </w:p>
    <w:p w14:paraId="2E51E6F6">
      <w:pPr>
        <w:keepNext w:val="0"/>
        <w:keepLines w:val="0"/>
        <w:widowControl/>
        <w:numPr>
          <w:ilvl w:val="0"/>
          <w:numId w:val="5"/>
        </w:numPr>
        <w:suppressLineNumbers w:val="0"/>
        <w:spacing w:before="0" w:beforeAutospacing="1" w:after="0" w:afterAutospacing="1"/>
        <w:ind w:left="0" w:hanging="360"/>
      </w:pPr>
    </w:p>
    <w:p w14:paraId="7EE7CDA0">
      <w:pPr>
        <w:pStyle w:val="4"/>
        <w:keepNext w:val="0"/>
        <w:keepLines w:val="0"/>
        <w:widowControl/>
        <w:suppressLineNumbers w:val="0"/>
        <w:spacing w:before="75" w:beforeAutospacing="0" w:after="225" w:afterAutospacing="0" w:line="368" w:lineRule="atLeast"/>
        <w:ind w:left="0"/>
      </w:pPr>
      <w:r>
        <w:rPr>
          <w:rFonts w:hint="eastAsia" w:ascii="微软雅黑" w:hAnsi="微软雅黑" w:eastAsia="微软雅黑" w:cs="微软雅黑"/>
          <w:sz w:val="24"/>
          <w:szCs w:val="24"/>
          <w:bdr w:val="none" w:color="auto" w:sz="0" w:space="0"/>
        </w:rPr>
        <w:t>明确区分“损失”（预期收益）与“直接费用”（实际增加成本），</w:t>
      </w:r>
      <w:r>
        <w:rPr>
          <w:rFonts w:hint="eastAsia" w:ascii="微软雅黑" w:hAnsi="微软雅黑" w:eastAsia="微软雅黑" w:cs="微软雅黑"/>
          <w:color w:val="FF0000"/>
          <w:sz w:val="24"/>
          <w:szCs w:val="24"/>
          <w:bdr w:val="none" w:color="auto" w:sz="0" w:space="0"/>
        </w:rPr>
        <w:t>发包人原因可索赔利润，不可抗力则仅补偿直接费用</w:t>
      </w:r>
      <w:r>
        <w:rPr>
          <w:rFonts w:hint="eastAsia" w:ascii="微软雅黑" w:hAnsi="微软雅黑" w:eastAsia="微软雅黑" w:cs="微软雅黑"/>
          <w:sz w:val="24"/>
          <w:szCs w:val="24"/>
          <w:bdr w:val="none" w:color="auto" w:sz="0" w:space="0"/>
        </w:rPr>
        <w:t>。</w:t>
      </w:r>
    </w:p>
    <w:p w14:paraId="7B555C43">
      <w:pPr>
        <w:keepNext w:val="0"/>
        <w:keepLines w:val="0"/>
        <w:widowControl/>
        <w:numPr>
          <w:ilvl w:val="0"/>
          <w:numId w:val="5"/>
        </w:numPr>
        <w:suppressLineNumbers w:val="0"/>
        <w:spacing w:before="0" w:beforeAutospacing="1" w:after="0" w:afterAutospacing="1"/>
        <w:ind w:left="0" w:hanging="360"/>
      </w:pPr>
    </w:p>
    <w:p w14:paraId="5C05EF83">
      <w:pPr>
        <w:pStyle w:val="4"/>
        <w:keepNext w:val="0"/>
        <w:keepLines w:val="0"/>
        <w:widowControl/>
        <w:suppressLineNumbers w:val="0"/>
        <w:spacing w:before="75" w:beforeAutospacing="0" w:after="225" w:afterAutospacing="0" w:line="368" w:lineRule="atLeast"/>
      </w:pPr>
      <w:r>
        <w:rPr>
          <w:vertAlign w:val="baseline"/>
        </w:rPr>
        <w:drawing>
          <wp:inline distT="0" distB="0" distL="114300" distR="114300">
            <wp:extent cx="5270500" cy="3164840"/>
            <wp:effectExtent l="0" t="0" r="6350" b="1651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270500" cy="3164840"/>
                    </a:xfrm>
                    <a:prstGeom prst="rect">
                      <a:avLst/>
                    </a:prstGeom>
                    <a:noFill/>
                    <a:ln w="9525">
                      <a:noFill/>
                    </a:ln>
                  </pic:spPr>
                </pic:pic>
              </a:graphicData>
            </a:graphic>
          </wp:inline>
        </w:drawing>
      </w:r>
    </w:p>
    <w:p w14:paraId="6B27A366">
      <w:pPr>
        <w:keepNext w:val="0"/>
        <w:keepLines w:val="0"/>
        <w:widowControl/>
        <w:suppressLineNumbers w:val="0"/>
        <w:spacing w:after="240" w:afterAutospacing="0"/>
        <w:jc w:val="left"/>
      </w:pPr>
      <w:r>
        <w:rPr>
          <w:rStyle w:val="7"/>
          <w:rFonts w:ascii="宋体" w:hAnsi="宋体" w:eastAsia="宋体" w:cs="宋体"/>
          <w:kern w:val="0"/>
          <w:sz w:val="24"/>
          <w:szCs w:val="24"/>
          <w:lang w:val="en-US" w:eastAsia="zh-CN" w:bidi="ar"/>
        </w:rPr>
        <w:t>三、计日工的规范化管理</w:t>
      </w:r>
    </w:p>
    <w:p w14:paraId="5C4841B8">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pacing w:val="0"/>
          <w:sz w:val="24"/>
          <w:szCs w:val="24"/>
        </w:rPr>
        <w:t>1、适用范围明确</w:t>
      </w:r>
    </w:p>
    <w:p w14:paraId="3E8A5A19">
      <w:pPr>
        <w:keepNext w:val="0"/>
        <w:keepLines w:val="0"/>
        <w:widowControl/>
        <w:numPr>
          <w:ilvl w:val="0"/>
          <w:numId w:val="6"/>
        </w:numPr>
        <w:suppressLineNumbers w:val="0"/>
        <w:spacing w:before="0" w:beforeAutospacing="1" w:after="0" w:afterAutospacing="1"/>
        <w:ind w:left="0" w:hanging="360"/>
      </w:pPr>
    </w:p>
    <w:p w14:paraId="39431771">
      <w:pPr>
        <w:pStyle w:val="4"/>
        <w:keepNext w:val="0"/>
        <w:keepLines w:val="0"/>
        <w:widowControl/>
        <w:suppressLineNumbers w:val="0"/>
        <w:spacing w:before="75" w:beforeAutospacing="0" w:after="225" w:afterAutospacing="0" w:line="368" w:lineRule="atLeast"/>
        <w:ind w:left="0"/>
      </w:pPr>
      <w:r>
        <w:rPr>
          <w:rFonts w:hint="eastAsia" w:ascii="微软雅黑" w:hAnsi="微软雅黑" w:eastAsia="微软雅黑" w:cs="微软雅黑"/>
          <w:color w:val="FF0000"/>
          <w:sz w:val="24"/>
          <w:szCs w:val="24"/>
          <w:bdr w:val="none" w:color="auto" w:sz="0" w:space="0"/>
        </w:rPr>
        <w:t>零星、紧急或无法按常规计量的项目采用计日工</w:t>
      </w:r>
      <w:r>
        <w:rPr>
          <w:rFonts w:hint="eastAsia" w:ascii="微软雅黑" w:hAnsi="微软雅黑" w:eastAsia="微软雅黑" w:cs="微软雅黑"/>
          <w:sz w:val="24"/>
          <w:szCs w:val="24"/>
          <w:bdr w:val="none" w:color="auto" w:sz="0" w:space="0"/>
        </w:rPr>
        <w:t>，需每日记录并双方确认。</w:t>
      </w:r>
    </w:p>
    <w:p w14:paraId="4C0C1377">
      <w:pPr>
        <w:keepNext w:val="0"/>
        <w:keepLines w:val="0"/>
        <w:widowControl/>
        <w:numPr>
          <w:ilvl w:val="0"/>
          <w:numId w:val="6"/>
        </w:numPr>
        <w:suppressLineNumbers w:val="0"/>
        <w:spacing w:before="0" w:beforeAutospacing="1" w:after="0" w:afterAutospacing="1"/>
        <w:ind w:left="0" w:hanging="360"/>
      </w:pPr>
    </w:p>
    <w:p w14:paraId="08788749">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71135" cy="2141855"/>
            <wp:effectExtent l="0" t="0" r="5715" b="1079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271135" cy="2141855"/>
                    </a:xfrm>
                    <a:prstGeom prst="rect">
                      <a:avLst/>
                    </a:prstGeom>
                    <a:noFill/>
                    <a:ln w="9525">
                      <a:noFill/>
                    </a:ln>
                  </pic:spPr>
                </pic:pic>
              </a:graphicData>
            </a:graphic>
          </wp:inline>
        </w:drawing>
      </w:r>
    </w:p>
    <w:p w14:paraId="398BA2A3">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pacing w:val="0"/>
          <w:sz w:val="24"/>
          <w:szCs w:val="24"/>
        </w:rPr>
        <w:t>2、计价规则细化</w:t>
      </w:r>
    </w:p>
    <w:p w14:paraId="7855A3A8">
      <w:pPr>
        <w:keepNext w:val="0"/>
        <w:keepLines w:val="0"/>
        <w:widowControl/>
        <w:numPr>
          <w:ilvl w:val="0"/>
          <w:numId w:val="7"/>
        </w:numPr>
        <w:suppressLineNumbers w:val="0"/>
        <w:spacing w:before="0" w:beforeAutospacing="1" w:after="0" w:afterAutospacing="1"/>
        <w:ind w:left="0" w:hanging="360"/>
      </w:pPr>
    </w:p>
    <w:p w14:paraId="626A54EF">
      <w:pPr>
        <w:pStyle w:val="4"/>
        <w:keepNext w:val="0"/>
        <w:keepLines w:val="0"/>
        <w:widowControl/>
        <w:suppressLineNumbers w:val="0"/>
        <w:spacing w:before="75" w:beforeAutospacing="0" w:after="225" w:afterAutospacing="0" w:line="368" w:lineRule="atLeast"/>
        <w:ind w:left="0"/>
      </w:pPr>
      <w:r>
        <w:rPr>
          <w:rFonts w:hint="eastAsia" w:ascii="微软雅黑" w:hAnsi="微软雅黑" w:eastAsia="微软雅黑" w:cs="微软雅黑"/>
          <w:color w:val="FF0000"/>
          <w:sz w:val="24"/>
          <w:szCs w:val="24"/>
          <w:bdr w:val="none" w:color="auto" w:sz="0" w:space="0"/>
        </w:rPr>
        <w:t>合同无适用单价时，按市场价格或类似项目分析确定</w:t>
      </w:r>
      <w:r>
        <w:rPr>
          <w:rFonts w:hint="eastAsia" w:ascii="微软雅黑" w:hAnsi="微软雅黑" w:eastAsia="微软雅黑" w:cs="微软雅黑"/>
          <w:sz w:val="24"/>
          <w:szCs w:val="24"/>
          <w:bdr w:val="none" w:color="auto" w:sz="0" w:space="0"/>
        </w:rPr>
        <w:t>，费用含随机性增加成本。</w:t>
      </w:r>
    </w:p>
    <w:p w14:paraId="2B3A2A59">
      <w:pPr>
        <w:keepNext w:val="0"/>
        <w:keepLines w:val="0"/>
        <w:widowControl/>
        <w:numPr>
          <w:ilvl w:val="0"/>
          <w:numId w:val="7"/>
        </w:numPr>
        <w:suppressLineNumbers w:val="0"/>
        <w:spacing w:before="0" w:beforeAutospacing="1" w:after="0" w:afterAutospacing="1"/>
        <w:ind w:left="0" w:hanging="360"/>
      </w:pPr>
    </w:p>
    <w:p w14:paraId="52DE249A">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69230" cy="1062990"/>
            <wp:effectExtent l="0" t="0" r="7620" b="381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269230" cy="1062990"/>
                    </a:xfrm>
                    <a:prstGeom prst="rect">
                      <a:avLst/>
                    </a:prstGeom>
                    <a:noFill/>
                    <a:ln w="9525">
                      <a:noFill/>
                    </a:ln>
                  </pic:spPr>
                </pic:pic>
              </a:graphicData>
            </a:graphic>
          </wp:inline>
        </w:drawing>
      </w:r>
    </w:p>
    <w:p w14:paraId="381F3557">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71135" cy="922655"/>
            <wp:effectExtent l="0" t="0" r="5715" b="1079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271135" cy="922655"/>
                    </a:xfrm>
                    <a:prstGeom prst="rect">
                      <a:avLst/>
                    </a:prstGeom>
                    <a:noFill/>
                    <a:ln w="9525">
                      <a:noFill/>
                    </a:ln>
                  </pic:spPr>
                </pic:pic>
              </a:graphicData>
            </a:graphic>
          </wp:inline>
        </w:drawing>
      </w:r>
    </w:p>
    <w:p w14:paraId="314131E4">
      <w:pPr>
        <w:keepNext w:val="0"/>
        <w:keepLines w:val="0"/>
        <w:widowControl/>
        <w:suppressLineNumbers w:val="0"/>
        <w:spacing w:after="240" w:afterAutospacing="0"/>
        <w:jc w:val="left"/>
      </w:pPr>
      <w:r>
        <w:rPr>
          <w:rStyle w:val="7"/>
          <w:rFonts w:ascii="宋体" w:hAnsi="宋体" w:eastAsia="宋体" w:cs="宋体"/>
          <w:kern w:val="0"/>
          <w:sz w:val="24"/>
          <w:szCs w:val="24"/>
          <w:lang w:val="en-US" w:eastAsia="zh-CN" w:bidi="ar"/>
        </w:rPr>
        <w:t>四、新增工程的独立计价体系</w:t>
      </w:r>
    </w:p>
    <w:p w14:paraId="2BE8AEED">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pacing w:val="0"/>
          <w:sz w:val="24"/>
          <w:szCs w:val="24"/>
        </w:rPr>
        <w:t>1、独立合同或补充协议</w:t>
      </w:r>
    </w:p>
    <w:p w14:paraId="1EBCB8A5">
      <w:pPr>
        <w:keepNext w:val="0"/>
        <w:keepLines w:val="0"/>
        <w:widowControl/>
        <w:numPr>
          <w:ilvl w:val="0"/>
          <w:numId w:val="8"/>
        </w:numPr>
        <w:suppressLineNumbers w:val="0"/>
        <w:spacing w:before="0" w:beforeAutospacing="1" w:after="0" w:afterAutospacing="1"/>
        <w:ind w:left="0" w:hanging="360"/>
      </w:pPr>
    </w:p>
    <w:p w14:paraId="1BF6391B">
      <w:pPr>
        <w:pStyle w:val="4"/>
        <w:keepNext w:val="0"/>
        <w:keepLines w:val="0"/>
        <w:widowControl/>
        <w:suppressLineNumbers w:val="0"/>
        <w:spacing w:before="75" w:beforeAutospacing="0" w:after="225" w:afterAutospacing="0" w:line="328" w:lineRule="atLeast"/>
        <w:ind w:left="0"/>
      </w:pPr>
      <w:r>
        <w:rPr>
          <w:rStyle w:val="7"/>
          <w:rFonts w:hint="eastAsia" w:ascii="微软雅黑" w:hAnsi="微软雅黑" w:eastAsia="微软雅黑" w:cs="微软雅黑"/>
          <w:color w:val="FF0000"/>
          <w:sz w:val="24"/>
          <w:szCs w:val="24"/>
          <w:bdr w:val="none" w:color="auto" w:sz="0" w:space="0"/>
        </w:rPr>
        <w:t>新增工程需单独签订合同或补充协议</w:t>
      </w:r>
      <w:r>
        <w:rPr>
          <w:rFonts w:hint="eastAsia" w:ascii="微软雅黑" w:hAnsi="微软雅黑" w:eastAsia="微软雅黑" w:cs="微软雅黑"/>
          <w:sz w:val="24"/>
          <w:szCs w:val="24"/>
          <w:bdr w:val="none" w:color="auto" w:sz="0" w:space="0"/>
        </w:rPr>
        <w:t>，</w:t>
      </w:r>
      <w:r>
        <w:rPr>
          <w:rStyle w:val="7"/>
          <w:rFonts w:hint="eastAsia" w:ascii="微软雅黑" w:hAnsi="微软雅黑" w:eastAsia="微软雅黑" w:cs="微软雅黑"/>
          <w:sz w:val="24"/>
          <w:szCs w:val="24"/>
          <w:bdr w:val="none" w:color="auto" w:sz="0" w:space="0"/>
        </w:rPr>
        <w:t>明确计价规则及工期影响</w:t>
      </w:r>
      <w:r>
        <w:rPr>
          <w:rFonts w:hint="eastAsia" w:ascii="微软雅黑" w:hAnsi="微软雅黑" w:eastAsia="微软雅黑" w:cs="微软雅黑"/>
          <w:sz w:val="24"/>
          <w:szCs w:val="24"/>
          <w:bdr w:val="none" w:color="auto" w:sz="0" w:space="0"/>
        </w:rPr>
        <w:t>。</w:t>
      </w:r>
    </w:p>
    <w:p w14:paraId="4355C22F">
      <w:pPr>
        <w:keepNext w:val="0"/>
        <w:keepLines w:val="0"/>
        <w:widowControl/>
        <w:numPr>
          <w:ilvl w:val="0"/>
          <w:numId w:val="8"/>
        </w:numPr>
        <w:suppressLineNumbers w:val="0"/>
        <w:spacing w:before="0" w:beforeAutospacing="1" w:after="0" w:afterAutospacing="1"/>
        <w:ind w:left="0" w:hanging="360"/>
      </w:pPr>
    </w:p>
    <w:p w14:paraId="441EBCC2">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67960" cy="726440"/>
            <wp:effectExtent l="0" t="0" r="8890" b="1651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267960" cy="726440"/>
                    </a:xfrm>
                    <a:prstGeom prst="rect">
                      <a:avLst/>
                    </a:prstGeom>
                    <a:noFill/>
                    <a:ln w="9525">
                      <a:noFill/>
                    </a:ln>
                  </pic:spPr>
                </pic:pic>
              </a:graphicData>
            </a:graphic>
          </wp:inline>
        </w:drawing>
      </w:r>
    </w:p>
    <w:p w14:paraId="7CA7F726">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74310" cy="380365"/>
            <wp:effectExtent l="0" t="0" r="2540" b="63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274310" cy="380365"/>
                    </a:xfrm>
                    <a:prstGeom prst="rect">
                      <a:avLst/>
                    </a:prstGeom>
                    <a:noFill/>
                    <a:ln w="9525">
                      <a:noFill/>
                    </a:ln>
                  </pic:spPr>
                </pic:pic>
              </a:graphicData>
            </a:graphic>
          </wp:inline>
        </w:drawing>
      </w:r>
    </w:p>
    <w:p w14:paraId="26C49B90">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pacing w:val="0"/>
          <w:sz w:val="24"/>
          <w:szCs w:val="24"/>
        </w:rPr>
        <w:t>2、措施费用全面覆盖</w:t>
      </w:r>
    </w:p>
    <w:p w14:paraId="42DB2F09">
      <w:pPr>
        <w:keepNext w:val="0"/>
        <w:keepLines w:val="0"/>
        <w:widowControl/>
        <w:numPr>
          <w:ilvl w:val="0"/>
          <w:numId w:val="9"/>
        </w:numPr>
        <w:suppressLineNumbers w:val="0"/>
        <w:spacing w:before="0" w:beforeAutospacing="1" w:after="0" w:afterAutospacing="1"/>
        <w:ind w:left="0" w:hanging="360"/>
      </w:pPr>
    </w:p>
    <w:p w14:paraId="32736D68">
      <w:pPr>
        <w:pStyle w:val="4"/>
        <w:keepNext w:val="0"/>
        <w:keepLines w:val="0"/>
        <w:widowControl/>
        <w:suppressLineNumbers w:val="0"/>
        <w:spacing w:before="75" w:beforeAutospacing="0" w:after="225" w:afterAutospacing="0" w:line="368" w:lineRule="atLeast"/>
        <w:ind w:left="0"/>
      </w:pPr>
      <w:r>
        <w:rPr>
          <w:rFonts w:hint="eastAsia" w:ascii="微软雅黑" w:hAnsi="微软雅黑" w:eastAsia="微软雅黑" w:cs="微软雅黑"/>
          <w:sz w:val="24"/>
          <w:szCs w:val="24"/>
          <w:bdr w:val="none" w:color="auto" w:sz="0" w:space="0"/>
        </w:rPr>
        <w:t>新增工程的</w:t>
      </w:r>
      <w:r>
        <w:rPr>
          <w:rFonts w:hint="eastAsia" w:ascii="微软雅黑" w:hAnsi="微软雅黑" w:eastAsia="微软雅黑" w:cs="微软雅黑"/>
          <w:color w:val="FF0000"/>
          <w:sz w:val="24"/>
          <w:szCs w:val="24"/>
          <w:bdr w:val="none" w:color="auto" w:sz="0" w:space="0"/>
        </w:rPr>
        <w:t>措施费包括延期使用设备、新增临时设施等，需单独编制报价单</w:t>
      </w:r>
      <w:r>
        <w:rPr>
          <w:rFonts w:hint="eastAsia" w:ascii="微软雅黑" w:hAnsi="微软雅黑" w:eastAsia="微软雅黑" w:cs="微软雅黑"/>
          <w:sz w:val="24"/>
          <w:szCs w:val="24"/>
          <w:bdr w:val="none" w:color="auto" w:sz="0" w:space="0"/>
        </w:rPr>
        <w:t>。</w:t>
      </w:r>
    </w:p>
    <w:p w14:paraId="4CAD49E3">
      <w:pPr>
        <w:keepNext w:val="0"/>
        <w:keepLines w:val="0"/>
        <w:widowControl/>
        <w:numPr>
          <w:ilvl w:val="0"/>
          <w:numId w:val="9"/>
        </w:numPr>
        <w:suppressLineNumbers w:val="0"/>
        <w:spacing w:before="0" w:beforeAutospacing="1" w:after="0" w:afterAutospacing="1"/>
        <w:ind w:left="0" w:hanging="360"/>
      </w:pPr>
    </w:p>
    <w:p w14:paraId="4824C970">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74310" cy="1220470"/>
            <wp:effectExtent l="0" t="0" r="2540" b="1778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274310" cy="1220470"/>
                    </a:xfrm>
                    <a:prstGeom prst="rect">
                      <a:avLst/>
                    </a:prstGeom>
                    <a:noFill/>
                    <a:ln w="9525">
                      <a:noFill/>
                    </a:ln>
                  </pic:spPr>
                </pic:pic>
              </a:graphicData>
            </a:graphic>
          </wp:inline>
        </w:drawing>
      </w:r>
    </w:p>
    <w:p w14:paraId="54503682">
      <w:pPr>
        <w:keepNext w:val="0"/>
        <w:keepLines w:val="0"/>
        <w:widowControl/>
        <w:suppressLineNumbers w:val="0"/>
        <w:spacing w:after="240" w:afterAutospacing="0"/>
        <w:jc w:val="left"/>
      </w:pPr>
      <w:r>
        <w:rPr>
          <w:rStyle w:val="7"/>
          <w:rFonts w:ascii="宋体" w:hAnsi="宋体" w:eastAsia="宋体" w:cs="宋体"/>
          <w:kern w:val="0"/>
          <w:sz w:val="24"/>
          <w:szCs w:val="24"/>
          <w:lang w:val="en-US" w:eastAsia="zh-CN" w:bidi="ar"/>
        </w:rPr>
        <w:t>五、取消监理签证后的管理要点</w:t>
      </w:r>
    </w:p>
    <w:p w14:paraId="20A5FF85">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z w:val="24"/>
          <w:szCs w:val="24"/>
        </w:rPr>
        <w:t>1、发承包主体责任强化</w:t>
      </w:r>
    </w:p>
    <w:p w14:paraId="687B9748">
      <w:pPr>
        <w:keepNext w:val="0"/>
        <w:keepLines w:val="0"/>
        <w:widowControl/>
        <w:numPr>
          <w:ilvl w:val="0"/>
          <w:numId w:val="10"/>
        </w:numPr>
        <w:suppressLineNumbers w:val="0"/>
        <w:spacing w:before="0" w:beforeAutospacing="1" w:after="0" w:afterAutospacing="1"/>
        <w:ind w:left="0" w:hanging="360"/>
      </w:pPr>
    </w:p>
    <w:p w14:paraId="4A2EA012">
      <w:pPr>
        <w:pStyle w:val="4"/>
        <w:keepNext w:val="0"/>
        <w:keepLines w:val="0"/>
        <w:widowControl/>
        <w:suppressLineNumbers w:val="0"/>
        <w:spacing w:before="75" w:beforeAutospacing="0" w:after="225" w:afterAutospacing="0" w:line="328" w:lineRule="atLeast"/>
        <w:ind w:left="0"/>
      </w:pPr>
      <w:r>
        <w:rPr>
          <w:rFonts w:hint="eastAsia" w:ascii="微软雅黑" w:hAnsi="微软雅黑" w:eastAsia="微软雅黑" w:cs="微软雅黑"/>
          <w:color w:val="FF0000"/>
          <w:sz w:val="24"/>
          <w:szCs w:val="24"/>
          <w:bdr w:val="none" w:color="auto" w:sz="0" w:space="0"/>
        </w:rPr>
        <w:t>双方需通过书面文件直接确认变更、索赔等事项</w:t>
      </w:r>
      <w:r>
        <w:rPr>
          <w:rFonts w:hint="eastAsia" w:ascii="微软雅黑" w:hAnsi="微软雅黑" w:eastAsia="微软雅黑" w:cs="微软雅黑"/>
          <w:sz w:val="24"/>
          <w:szCs w:val="24"/>
          <w:bdr w:val="none" w:color="auto" w:sz="0" w:space="0"/>
        </w:rPr>
        <w:t>，</w:t>
      </w:r>
      <w:r>
        <w:rPr>
          <w:rFonts w:hint="eastAsia" w:ascii="微软雅黑" w:hAnsi="微软雅黑" w:eastAsia="微软雅黑" w:cs="微软雅黑"/>
          <w:color w:val="FF0000"/>
          <w:sz w:val="24"/>
          <w:szCs w:val="24"/>
          <w:bdr w:val="none" w:color="auto" w:sz="0" w:space="0"/>
        </w:rPr>
        <w:t>减少中间环节</w:t>
      </w:r>
      <w:r>
        <w:rPr>
          <w:rFonts w:hint="eastAsia" w:ascii="微软雅黑" w:hAnsi="微软雅黑" w:eastAsia="微软雅黑" w:cs="微软雅黑"/>
          <w:sz w:val="24"/>
          <w:szCs w:val="24"/>
          <w:bdr w:val="none" w:color="auto" w:sz="0" w:space="0"/>
        </w:rPr>
        <w:t>。</w:t>
      </w:r>
    </w:p>
    <w:p w14:paraId="21F9E7B4">
      <w:pPr>
        <w:keepNext w:val="0"/>
        <w:keepLines w:val="0"/>
        <w:widowControl/>
        <w:numPr>
          <w:ilvl w:val="0"/>
          <w:numId w:val="10"/>
        </w:numPr>
        <w:suppressLineNumbers w:val="0"/>
        <w:spacing w:before="0" w:beforeAutospacing="1" w:after="0" w:afterAutospacing="1"/>
        <w:ind w:left="0" w:hanging="360"/>
      </w:pPr>
    </w:p>
    <w:p w14:paraId="62ED89F6">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74310" cy="725805"/>
            <wp:effectExtent l="0" t="0" r="2540" b="1714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274310" cy="725805"/>
                    </a:xfrm>
                    <a:prstGeom prst="rect">
                      <a:avLst/>
                    </a:prstGeom>
                    <a:noFill/>
                    <a:ln w="9525">
                      <a:noFill/>
                    </a:ln>
                  </pic:spPr>
                </pic:pic>
              </a:graphicData>
            </a:graphic>
          </wp:inline>
        </w:drawing>
      </w:r>
    </w:p>
    <w:p w14:paraId="2087939C">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z w:val="24"/>
          <w:szCs w:val="24"/>
        </w:rPr>
        <w:t>2、档案管理与争议解决</w:t>
      </w:r>
    </w:p>
    <w:p w14:paraId="355670F7">
      <w:pPr>
        <w:keepNext w:val="0"/>
        <w:keepLines w:val="0"/>
        <w:widowControl/>
        <w:numPr>
          <w:ilvl w:val="0"/>
          <w:numId w:val="11"/>
        </w:numPr>
        <w:suppressLineNumbers w:val="0"/>
        <w:spacing w:before="0" w:beforeAutospacing="1" w:after="0" w:afterAutospacing="1"/>
        <w:ind w:left="0" w:hanging="360"/>
      </w:pPr>
    </w:p>
    <w:p w14:paraId="7F41724A">
      <w:pPr>
        <w:pStyle w:val="4"/>
        <w:keepNext w:val="0"/>
        <w:keepLines w:val="0"/>
        <w:widowControl/>
        <w:suppressLineNumbers w:val="0"/>
        <w:spacing w:before="75" w:beforeAutospacing="0" w:after="225" w:afterAutospacing="0" w:line="368" w:lineRule="atLeast"/>
        <w:ind w:left="0"/>
      </w:pPr>
      <w:r>
        <w:rPr>
          <w:rFonts w:hint="eastAsia" w:ascii="微软雅黑" w:hAnsi="微软雅黑" w:eastAsia="微软雅黑" w:cs="微软雅黑"/>
          <w:sz w:val="24"/>
          <w:szCs w:val="24"/>
          <w:bdr w:val="none" w:color="auto" w:sz="0" w:space="0"/>
        </w:rPr>
        <w:t>计价文件需严格归档，争议通过评审、调解或仲裁解决，</w:t>
      </w:r>
      <w:r>
        <w:rPr>
          <w:rFonts w:hint="eastAsia" w:ascii="微软雅黑" w:hAnsi="微软雅黑" w:eastAsia="微软雅黑" w:cs="微软雅黑"/>
          <w:color w:val="FF0000"/>
          <w:sz w:val="24"/>
          <w:szCs w:val="24"/>
          <w:bdr w:val="none" w:color="auto" w:sz="0" w:space="0"/>
        </w:rPr>
        <w:t>降低对监理审核的依赖</w:t>
      </w:r>
      <w:r>
        <w:rPr>
          <w:rFonts w:hint="eastAsia" w:ascii="微软雅黑" w:hAnsi="微软雅黑" w:eastAsia="微软雅黑" w:cs="微软雅黑"/>
          <w:sz w:val="24"/>
          <w:szCs w:val="24"/>
          <w:bdr w:val="none" w:color="auto" w:sz="0" w:space="0"/>
        </w:rPr>
        <w:t>。</w:t>
      </w:r>
    </w:p>
    <w:p w14:paraId="0DC47A8E">
      <w:pPr>
        <w:keepNext w:val="0"/>
        <w:keepLines w:val="0"/>
        <w:widowControl/>
        <w:numPr>
          <w:ilvl w:val="0"/>
          <w:numId w:val="11"/>
        </w:numPr>
        <w:suppressLineNumbers w:val="0"/>
        <w:spacing w:before="0" w:beforeAutospacing="1" w:after="0" w:afterAutospacing="1"/>
        <w:ind w:left="0" w:hanging="360"/>
      </w:pPr>
    </w:p>
    <w:p w14:paraId="350A79BD">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z w:val="24"/>
          <w:szCs w:val="24"/>
          <w:vertAlign w:val="baseline"/>
        </w:rPr>
        <w:drawing>
          <wp:inline distT="0" distB="0" distL="114300" distR="114300">
            <wp:extent cx="5270500" cy="1193165"/>
            <wp:effectExtent l="0" t="0" r="6350" b="698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270500" cy="1193165"/>
                    </a:xfrm>
                    <a:prstGeom prst="rect">
                      <a:avLst/>
                    </a:prstGeom>
                    <a:noFill/>
                    <a:ln w="9525">
                      <a:noFill/>
                    </a:ln>
                  </pic:spPr>
                </pic:pic>
              </a:graphicData>
            </a:graphic>
          </wp:inline>
        </w:drawing>
      </w:r>
    </w:p>
    <w:p w14:paraId="5D5C810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8"/>
          <w:i/>
          <w:iCs/>
          <w:bdr w:val="none" w:color="auto" w:sz="0" w:space="0"/>
        </w:rPr>
        <w:t>监理角色转变！</w:t>
      </w:r>
    </w:p>
    <w:p w14:paraId="1369135F">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pacing w:val="8"/>
          <w:sz w:val="24"/>
          <w:szCs w:val="24"/>
        </w:rPr>
        <w:t>尽管签证审核被取消，监理仍需参与现场见证、过程监督等环节。</w:t>
      </w:r>
      <w:r>
        <w:rPr>
          <w:rFonts w:hint="eastAsia" w:ascii="微软雅黑" w:hAnsi="微软雅黑" w:eastAsia="微软雅黑" w:cs="微软雅黑"/>
          <w:spacing w:val="8"/>
          <w:sz w:val="24"/>
          <w:szCs w:val="24"/>
        </w:rPr>
        <w:t>例如，新增工程需要发承包双方协商确定，监理仍需监督实施过程，确保符合合同约定和相关标准。</w:t>
      </w:r>
    </w:p>
    <w:p w14:paraId="29DCEB3B">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color w:val="FF0000"/>
          <w:spacing w:val="8"/>
          <w:sz w:val="24"/>
          <w:szCs w:val="24"/>
        </w:rPr>
        <w:t>此调整从制度上减少了因签证事项模糊引发的争议，以及监理在计价审核中的主观判断空间，降低了自由裁量权风险。</w:t>
      </w:r>
      <w:r>
        <w:rPr>
          <w:rFonts w:hint="eastAsia" w:ascii="微软雅黑" w:hAnsi="微软雅黑" w:eastAsia="微软雅黑" w:cs="微软雅黑"/>
          <w:spacing w:val="8"/>
          <w:sz w:val="24"/>
          <w:szCs w:val="24"/>
        </w:rPr>
        <w:t>监理职责更聚焦于施工质量以及进度管理等环节，如隐蔽工程验收和现场见证等。</w:t>
      </w:r>
      <w:r>
        <w:rPr>
          <w:rFonts w:hint="eastAsia" w:ascii="微软雅黑" w:hAnsi="微软雅黑" w:eastAsia="微软雅黑" w:cs="微软雅黑"/>
          <w:spacing w:val="8"/>
          <w:sz w:val="24"/>
          <w:szCs w:val="24"/>
          <w:u w:val="single"/>
        </w:rPr>
        <w:t>监理需将更多精力投入到工程实施过程中，确保工程质量达标，进度按计划进行</w:t>
      </w:r>
      <w:r>
        <w:rPr>
          <w:rFonts w:hint="eastAsia" w:ascii="微软雅黑" w:hAnsi="微软雅黑" w:eastAsia="微软雅黑" w:cs="微软雅黑"/>
          <w:spacing w:val="8"/>
          <w:sz w:val="24"/>
          <w:szCs w:val="24"/>
        </w:rPr>
        <w:t>。</w:t>
      </w:r>
    </w:p>
    <w:p w14:paraId="449E0045">
      <w:pPr>
        <w:pStyle w:val="4"/>
        <w:keepNext w:val="0"/>
        <w:keepLines w:val="0"/>
        <w:widowControl/>
        <w:suppressLineNumbers w:val="0"/>
        <w:spacing w:before="75" w:beforeAutospacing="0" w:after="225" w:afterAutospacing="0" w:line="328" w:lineRule="atLeast"/>
      </w:pPr>
      <w:r>
        <w:rPr>
          <w:rFonts w:hint="eastAsia" w:ascii="微软雅黑" w:hAnsi="微软雅黑" w:eastAsia="微软雅黑" w:cs="微软雅黑"/>
          <w:b/>
          <w:bCs/>
          <w:color w:val="FF0000"/>
          <w:sz w:val="24"/>
          <w:szCs w:val="24"/>
        </w:rPr>
        <w:t>监理工作重心转向对发承包双方履约行为的合规性监督</w:t>
      </w:r>
      <w:r>
        <w:rPr>
          <w:rFonts w:hint="eastAsia" w:ascii="微软雅黑" w:hAnsi="微软雅黑" w:eastAsia="微软雅黑" w:cs="微软雅黑"/>
          <w:spacing w:val="8"/>
          <w:sz w:val="24"/>
          <w:szCs w:val="24"/>
        </w:rPr>
        <w:t>，包括审核新增工程实施程序是否符合合同约定，计价规则是否遵循国家标准等。</w:t>
      </w:r>
    </w:p>
    <w:p w14:paraId="29FFDA31">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pacing w:val="8"/>
          <w:sz w:val="24"/>
          <w:szCs w:val="24"/>
        </w:rPr>
        <w:t>政策调整方向与住建部近年来推动的工程造价市场化改革目标一致，强调以合同为核心规范工程管理行为，促使监理职能向全过程风险管控转型。</w:t>
      </w:r>
    </w:p>
    <w:p w14:paraId="338983F4">
      <w:pPr>
        <w:pStyle w:val="4"/>
        <w:keepNext w:val="0"/>
        <w:keepLines w:val="0"/>
        <w:widowControl/>
        <w:suppressLineNumbers w:val="0"/>
        <w:spacing w:before="75" w:beforeAutospacing="0" w:after="225" w:afterAutospacing="0" w:line="368" w:lineRule="atLeast"/>
      </w:pPr>
      <w:r>
        <w:rPr>
          <w:rStyle w:val="7"/>
          <w:rFonts w:hint="eastAsia" w:ascii="微软雅黑" w:hAnsi="微软雅黑" w:eastAsia="微软雅黑" w:cs="微软雅黑"/>
          <w:spacing w:val="8"/>
          <w:sz w:val="24"/>
          <w:szCs w:val="24"/>
        </w:rPr>
        <w:t>职责的删除本质上是工程管理权责的重新分配</w:t>
      </w:r>
      <w:r>
        <w:rPr>
          <w:rFonts w:hint="eastAsia" w:ascii="微软雅黑" w:hAnsi="微软雅黑" w:eastAsia="微软雅黑" w:cs="微软雅黑"/>
          <w:spacing w:val="8"/>
          <w:sz w:val="24"/>
          <w:szCs w:val="24"/>
        </w:rPr>
        <w:t>，符合国务院办公厅《关于促进建筑业持续健康发展的意见》中完善工程建设组织模式的要求。</w:t>
      </w:r>
    </w:p>
    <w:p w14:paraId="01591EDB">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pacing w:val="8"/>
          <w:sz w:val="24"/>
          <w:szCs w:val="24"/>
        </w:rPr>
        <w:t>监理行业需适应从签证审核到系统性合同监管的角色转变，</w:t>
      </w:r>
      <w:r>
        <w:rPr>
          <w:rStyle w:val="7"/>
          <w:rFonts w:hint="eastAsia" w:ascii="微软雅黑" w:hAnsi="微软雅黑" w:eastAsia="微软雅黑" w:cs="微软雅黑"/>
          <w:spacing w:val="8"/>
          <w:sz w:val="24"/>
          <w:szCs w:val="24"/>
        </w:rPr>
        <w:t>其专业价值将更集中地体现在工程实施风险的预控和过程合规性审查领域。</w:t>
      </w:r>
    </w:p>
    <w:p w14:paraId="7ABAAB24">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spacing w:val="8"/>
          <w:sz w:val="24"/>
          <w:szCs w:val="24"/>
        </w:rPr>
        <w:t>总体而言，此次改动减少了监理行业的许多麻烦事，消除了监理行业常见的争议点。监理需适应新的职责划分，提升专业能力，注重过程监督和质量控制。</w:t>
      </w:r>
    </w:p>
    <w:p w14:paraId="24AB762C">
      <w:pPr>
        <w:keepNext w:val="0"/>
        <w:keepLines w:val="0"/>
        <w:widowControl/>
        <w:suppressLineNumbers w:val="0"/>
        <w:pBdr>
          <w:top w:val="single" w:color="auto" w:sz="6" w:space="0"/>
          <w:left w:val="single" w:color="auto" w:sz="2" w:space="0"/>
          <w:bottom w:val="single" w:color="auto" w:sz="2" w:space="0"/>
          <w:right w:val="single" w:color="auto" w:sz="2" w:space="0"/>
        </w:pBdr>
      </w:pPr>
      <w:r>
        <w:pict>
          <v:rect id="_x0000_i1041" o:spt="1" style="height:1.5pt;width:432pt;" fillcolor="#A0A0A0" filled="t" stroked="f" coordsize="21600,21600" o:hr="t" o:hrstd="t" o:hralign="center">
            <v:path/>
            <v:fill on="t" focussize="0,0"/>
            <v:stroke on="f"/>
            <v:imagedata o:title=""/>
            <o:lock v:ext="edit"/>
            <w10:wrap type="none"/>
            <w10:anchorlock/>
          </v:rect>
        </w:pict>
      </w:r>
    </w:p>
    <w:p w14:paraId="1411B16E">
      <w:pPr>
        <w:pStyle w:val="4"/>
        <w:keepNext w:val="0"/>
        <w:keepLines w:val="0"/>
        <w:widowControl/>
        <w:suppressLineNumbers w:val="0"/>
        <w:spacing w:before="75" w:beforeAutospacing="0" w:after="225" w:afterAutospacing="0" w:line="336" w:lineRule="atLeast"/>
      </w:pPr>
      <w:r>
        <w:rPr>
          <w:color w:val="7F7F7F"/>
          <w:sz w:val="21"/>
          <w:szCs w:val="21"/>
        </w:rPr>
        <w:t>附住建部原文：</w:t>
      </w:r>
    </w:p>
    <w:p w14:paraId="20D98C1C">
      <w:pPr>
        <w:keepNext w:val="0"/>
        <w:keepLines w:val="0"/>
        <w:widowControl/>
        <w:suppressLineNumbers w:val="0"/>
        <w:jc w:val="left"/>
      </w:pPr>
      <w:r>
        <w:rPr>
          <w:rFonts w:ascii="宋体" w:hAnsi="宋体" w:eastAsia="宋体" w:cs="宋体"/>
          <w:kern w:val="0"/>
          <w:sz w:val="24"/>
          <w:szCs w:val="24"/>
          <w:vertAlign w:val="baseline"/>
          <w:lang w:val="en-US" w:eastAsia="zh-CN" w:bidi="ar"/>
        </w:rPr>
        <w:drawing>
          <wp:inline distT="0" distB="0" distL="114300" distR="114300">
            <wp:extent cx="5266690" cy="3184525"/>
            <wp:effectExtent l="0" t="0" r="10160" b="15875"/>
            <wp:docPr id="17"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72"/>
                    <pic:cNvPicPr>
                      <a:picLocks noChangeAspect="1"/>
                    </pic:cNvPicPr>
                  </pic:nvPicPr>
                  <pic:blipFill>
                    <a:blip r:embed="rId20"/>
                    <a:stretch>
                      <a:fillRect/>
                    </a:stretch>
                  </pic:blipFill>
                  <pic:spPr>
                    <a:xfrm>
                      <a:off x="0" y="0"/>
                      <a:ext cx="5266690" cy="3184525"/>
                    </a:xfrm>
                    <a:prstGeom prst="rect">
                      <a:avLst/>
                    </a:prstGeom>
                    <a:noFill/>
                    <a:ln w="9525">
                      <a:noFill/>
                    </a:ln>
                  </pic:spPr>
                </pic:pic>
              </a:graphicData>
            </a:graphic>
          </wp:inline>
        </w:drawing>
      </w:r>
    </w:p>
    <w:p w14:paraId="2F4BF271">
      <w:pPr>
        <w:pStyle w:val="4"/>
        <w:keepNext w:val="0"/>
        <w:keepLines w:val="0"/>
        <w:widowControl/>
        <w:suppressLineNumbers w:val="0"/>
        <w:spacing w:before="75" w:beforeAutospacing="0" w:after="225" w:afterAutospacing="0" w:line="328" w:lineRule="atLeast"/>
      </w:pPr>
      <w:r>
        <w:rPr>
          <w:rStyle w:val="7"/>
          <w:rFonts w:hint="eastAsia" w:ascii="微软雅黑" w:hAnsi="微软雅黑" w:eastAsia="微软雅黑" w:cs="微软雅黑"/>
          <w:color w:val="000000"/>
          <w:sz w:val="24"/>
          <w:szCs w:val="24"/>
        </w:rPr>
        <w:t>现批准《建设工程工程量清单计价标准》为国家标准，编号为GB/T50500-2024，</w:t>
      </w:r>
      <w:r>
        <w:rPr>
          <w:rStyle w:val="7"/>
          <w:rFonts w:hint="eastAsia" w:ascii="微软雅黑" w:hAnsi="微软雅黑" w:eastAsia="微软雅黑" w:cs="微软雅黑"/>
          <w:color w:val="FF0000"/>
          <w:sz w:val="24"/>
          <w:szCs w:val="24"/>
        </w:rPr>
        <w:t>自2025年9月1日起实施</w:t>
      </w:r>
      <w:r>
        <w:rPr>
          <w:rFonts w:hint="eastAsia" w:ascii="微软雅黑" w:hAnsi="微软雅黑" w:eastAsia="微软雅黑" w:cs="微软雅黑"/>
          <w:color w:val="000000"/>
          <w:sz w:val="24"/>
          <w:szCs w:val="24"/>
        </w:rPr>
        <w:t>。原国家标准《建设工程工程量清单计价规范》（GB50500-2013）</w:t>
      </w:r>
      <w:r>
        <w:rPr>
          <w:rStyle w:val="7"/>
          <w:rFonts w:hint="eastAsia" w:ascii="微软雅黑" w:hAnsi="微软雅黑" w:eastAsia="微软雅黑" w:cs="微软雅黑"/>
          <w:color w:val="FF0000"/>
          <w:sz w:val="24"/>
          <w:szCs w:val="24"/>
        </w:rPr>
        <w:t>同时废止</w:t>
      </w:r>
      <w:r>
        <w:rPr>
          <w:rFonts w:hint="eastAsia" w:ascii="微软雅黑" w:hAnsi="微软雅黑" w:eastAsia="微软雅黑" w:cs="微软雅黑"/>
          <w:color w:val="000000"/>
          <w:sz w:val="24"/>
          <w:szCs w:val="24"/>
        </w:rPr>
        <w:t>。</w:t>
      </w:r>
    </w:p>
    <w:p w14:paraId="06380045">
      <w:pPr>
        <w:pStyle w:val="4"/>
        <w:keepNext w:val="0"/>
        <w:keepLines w:val="0"/>
        <w:widowControl/>
        <w:suppressLineNumbers w:val="0"/>
        <w:spacing w:before="75" w:beforeAutospacing="0" w:after="225" w:afterAutospacing="0" w:line="368" w:lineRule="atLeast"/>
      </w:pPr>
      <w:r>
        <w:rPr>
          <w:rFonts w:hint="eastAsia" w:ascii="微软雅黑" w:hAnsi="微软雅黑" w:eastAsia="微软雅黑" w:cs="微软雅黑"/>
          <w:color w:val="000000"/>
          <w:sz w:val="24"/>
          <w:szCs w:val="24"/>
        </w:rPr>
        <w:t>本标准在住房城乡建设部门户网站（www.mohurd.gov.cn）公开，并由住房城乡建设部标准定额研究所组织中国计划出版社有限公司出版发行。</w:t>
      </w:r>
    </w:p>
    <w:p w14:paraId="17791766">
      <w:pPr>
        <w:pStyle w:val="4"/>
        <w:keepNext w:val="0"/>
        <w:keepLines w:val="0"/>
        <w:widowControl/>
        <w:suppressLineNumbers w:val="0"/>
        <w:spacing w:before="75" w:beforeAutospacing="0" w:after="225" w:afterAutospacing="0" w:line="368" w:lineRule="atLeast"/>
        <w:jc w:val="right"/>
      </w:pPr>
      <w:r>
        <w:rPr>
          <w:rFonts w:hint="eastAsia" w:ascii="微软雅黑" w:hAnsi="微软雅黑" w:eastAsia="微软雅黑" w:cs="微软雅黑"/>
          <w:color w:val="000000"/>
          <w:sz w:val="24"/>
          <w:szCs w:val="24"/>
        </w:rPr>
        <w:t>住房城乡建设部</w:t>
      </w:r>
    </w:p>
    <w:p w14:paraId="45E549CB">
      <w:pPr>
        <w:pStyle w:val="4"/>
        <w:keepNext w:val="0"/>
        <w:keepLines w:val="0"/>
        <w:widowControl/>
        <w:suppressLineNumbers w:val="0"/>
        <w:spacing w:before="75" w:beforeAutospacing="0" w:after="225" w:afterAutospacing="0" w:line="368" w:lineRule="atLeast"/>
        <w:jc w:val="right"/>
      </w:pPr>
      <w:r>
        <w:rPr>
          <w:rFonts w:hint="eastAsia" w:ascii="微软雅黑" w:hAnsi="微软雅黑" w:eastAsia="微软雅黑" w:cs="微软雅黑"/>
          <w:color w:val="000000"/>
          <w:sz w:val="24"/>
          <w:szCs w:val="24"/>
        </w:rPr>
        <w:t>2024年11月26日</w:t>
      </w:r>
    </w:p>
    <w:p w14:paraId="4514373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B6C932"/>
    <w:multiLevelType w:val="multilevel"/>
    <w:tmpl w:val="95B6C932"/>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1">
    <w:nsid w:val="A03F954B"/>
    <w:multiLevelType w:val="multilevel"/>
    <w:tmpl w:val="A03F954B"/>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2">
    <w:nsid w:val="ACCAED67"/>
    <w:multiLevelType w:val="multilevel"/>
    <w:tmpl w:val="ACCAED67"/>
    <w:lvl w:ilvl="0" w:tentative="0">
      <w:start w:val="1"/>
      <w:numFmt w:val="bullet"/>
      <w:lvlText w:val="o"/>
      <w:lvlJc w:val="left"/>
      <w:pPr>
        <w:tabs>
          <w:tab w:val="left" w:pos="720"/>
        </w:tabs>
        <w:ind w:left="720" w:hanging="360"/>
      </w:pPr>
      <w:rPr>
        <w:rFonts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3">
    <w:nsid w:val="E37045C0"/>
    <w:multiLevelType w:val="multilevel"/>
    <w:tmpl w:val="E37045C0"/>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4">
    <w:nsid w:val="E6762DB5"/>
    <w:multiLevelType w:val="multilevel"/>
    <w:tmpl w:val="E6762DB5"/>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5">
    <w:nsid w:val="FE9372D0"/>
    <w:multiLevelType w:val="multilevel"/>
    <w:tmpl w:val="FE9372D0"/>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6">
    <w:nsid w:val="1E9BC8E2"/>
    <w:multiLevelType w:val="multilevel"/>
    <w:tmpl w:val="1E9BC8E2"/>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7">
    <w:nsid w:val="438D4655"/>
    <w:multiLevelType w:val="multilevel"/>
    <w:tmpl w:val="438D4655"/>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8">
    <w:nsid w:val="5B96FCDF"/>
    <w:multiLevelType w:val="multilevel"/>
    <w:tmpl w:val="5B96FCDF"/>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9">
    <w:nsid w:val="6AB7B247"/>
    <w:multiLevelType w:val="multilevel"/>
    <w:tmpl w:val="6AB7B247"/>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abstractNum w:abstractNumId="10">
    <w:nsid w:val="6D326C95"/>
    <w:multiLevelType w:val="multilevel"/>
    <w:tmpl w:val="6D326C95"/>
    <w:lvl w:ilvl="0" w:tentative="0">
      <w:start w:val="1"/>
      <w:numFmt w:val="bullet"/>
      <w:lvlText w:val="o"/>
      <w:lvlJc w:val="left"/>
      <w:pPr>
        <w:tabs>
          <w:tab w:val="left" w:pos="720"/>
        </w:tabs>
        <w:ind w:left="720" w:hanging="360"/>
      </w:pPr>
      <w:rPr>
        <w:rFonts w:hint="default" w:ascii="Courier New" w:hAnsi="Courier New" w:cs="Courier New"/>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o"/>
      <w:lvlJc w:val="left"/>
      <w:pPr>
        <w:tabs>
          <w:tab w:val="left" w:pos="2160"/>
        </w:tabs>
        <w:ind w:left="2160" w:hanging="360"/>
      </w:pPr>
      <w:rPr>
        <w:rFonts w:hint="default" w:ascii="Courier New" w:hAnsi="Courier New" w:cs="Courier New"/>
        <w:sz w:val="20"/>
      </w:rPr>
    </w:lvl>
    <w:lvl w:ilvl="3" w:tentative="0">
      <w:start w:val="1"/>
      <w:numFmt w:val="bullet"/>
      <w:lvlText w:val="o"/>
      <w:lvlJc w:val="left"/>
      <w:pPr>
        <w:tabs>
          <w:tab w:val="left" w:pos="2880"/>
        </w:tabs>
        <w:ind w:left="2880" w:hanging="360"/>
      </w:pPr>
      <w:rPr>
        <w:rFonts w:hint="default" w:ascii="Courier New" w:hAnsi="Courier New" w:cs="Courier New"/>
        <w:sz w:val="20"/>
      </w:rPr>
    </w:lvl>
    <w:lvl w:ilvl="4" w:tentative="0">
      <w:start w:val="1"/>
      <w:numFmt w:val="bullet"/>
      <w:lvlText w:val="o"/>
      <w:lvlJc w:val="left"/>
      <w:pPr>
        <w:tabs>
          <w:tab w:val="left" w:pos="3600"/>
        </w:tabs>
        <w:ind w:left="3600" w:hanging="360"/>
      </w:pPr>
      <w:rPr>
        <w:rFonts w:hint="default" w:ascii="Courier New" w:hAnsi="Courier New" w:cs="Courier New"/>
        <w:sz w:val="20"/>
      </w:rPr>
    </w:lvl>
    <w:lvl w:ilvl="5" w:tentative="0">
      <w:start w:val="1"/>
      <w:numFmt w:val="bullet"/>
      <w:lvlText w:val="o"/>
      <w:lvlJc w:val="left"/>
      <w:pPr>
        <w:tabs>
          <w:tab w:val="left" w:pos="4320"/>
        </w:tabs>
        <w:ind w:left="4320" w:hanging="360"/>
      </w:pPr>
      <w:rPr>
        <w:rFonts w:hint="default" w:ascii="Courier New" w:hAnsi="Courier New" w:cs="Courier New"/>
        <w:sz w:val="20"/>
      </w:rPr>
    </w:lvl>
    <w:lvl w:ilvl="6" w:tentative="0">
      <w:start w:val="1"/>
      <w:numFmt w:val="bullet"/>
      <w:lvlText w:val="o"/>
      <w:lvlJc w:val="left"/>
      <w:pPr>
        <w:tabs>
          <w:tab w:val="left" w:pos="5040"/>
        </w:tabs>
        <w:ind w:left="5040" w:hanging="360"/>
      </w:pPr>
      <w:rPr>
        <w:rFonts w:hint="default" w:ascii="Courier New" w:hAnsi="Courier New" w:cs="Courier New"/>
        <w:sz w:val="20"/>
      </w:rPr>
    </w:lvl>
    <w:lvl w:ilvl="7" w:tentative="0">
      <w:start w:val="1"/>
      <w:numFmt w:val="bullet"/>
      <w:lvlText w:val="o"/>
      <w:lvlJc w:val="left"/>
      <w:pPr>
        <w:tabs>
          <w:tab w:val="left" w:pos="5760"/>
        </w:tabs>
        <w:ind w:left="5760" w:hanging="360"/>
      </w:pPr>
      <w:rPr>
        <w:rFonts w:hint="default" w:ascii="Courier New" w:hAnsi="Courier New" w:cs="Courier New"/>
        <w:sz w:val="20"/>
      </w:rPr>
    </w:lvl>
    <w:lvl w:ilvl="8" w:tentative="0">
      <w:start w:val="1"/>
      <w:numFmt w:val="bullet"/>
      <w:lvlText w:val="o"/>
      <w:lvlJc w:val="left"/>
      <w:pPr>
        <w:tabs>
          <w:tab w:val="left" w:pos="6480"/>
        </w:tabs>
        <w:ind w:left="6480" w:hanging="360"/>
      </w:pPr>
      <w:rPr>
        <w:rFonts w:hint="default" w:ascii="Courier New" w:hAnsi="Courier New" w:cs="Courier New"/>
        <w:sz w:val="20"/>
      </w:rPr>
    </w:lvl>
  </w:abstractNum>
  <w:num w:numId="1">
    <w:abstractNumId w:val="2"/>
  </w:num>
  <w:num w:numId="2">
    <w:abstractNumId w:val="6"/>
  </w:num>
  <w:num w:numId="3">
    <w:abstractNumId w:val="0"/>
  </w:num>
  <w:num w:numId="4">
    <w:abstractNumId w:val="4"/>
  </w:num>
  <w:num w:numId="5">
    <w:abstractNumId w:val="8"/>
  </w:num>
  <w:num w:numId="6">
    <w:abstractNumId w:val="1"/>
  </w:num>
  <w:num w:numId="7">
    <w:abstractNumId w:val="9"/>
  </w:num>
  <w:num w:numId="8">
    <w:abstractNumId w:val="3"/>
  </w:num>
  <w:num w:numId="9">
    <w:abstractNumId w:val="7"/>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E35B49"/>
    <w:rsid w:val="10E35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1</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2025-05-28T02:05:00Z</dcterms:created>
  <dc:creator>王姝懿</dc:creator>
  <cp:lastModifiedBy>王姝懿</cp:lastModifiedBy>
  <dcterms:modified xsi:type="dcterms:W3CDTF">2025-05-28T02:07:45Z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8CA19027AAA54B6FA1EBA8CFEA19BE30_11</vt:lpwstr>
  </property>
  <property fmtid="{D5CDD505-2E9C-101B-9397-08002B2CF9AE}" pid="4" name="KSOTemplateDocerSaveRecord">
    <vt:lpwstr>eyJoZGlkIjoiNjRjN2E4NjA0Mjk0YWMzODQ4M2Y3NjExN2VjMzhjOTYiLCJ1c2VySWQiOiIyOTk1NjI2NjAifQ==</vt:lpwstr>
  </property>
</Properties>
</file>