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645" w:rsidRDefault="00DC7284" w:rsidP="000A3645">
      <w:pPr>
        <w:widowControl/>
        <w:shd w:val="clear" w:color="auto" w:fill="FFFFFF"/>
        <w:spacing w:before="360" w:after="360"/>
        <w:jc w:val="left"/>
        <w:outlineLvl w:val="0"/>
        <w:rPr>
          <w:rFonts w:ascii="华文仿宋" w:eastAsia="华文仿宋" w:hAnsi="华文仿宋" w:cs="宋体" w:hint="eastAsia"/>
          <w:b/>
          <w:bCs/>
          <w:color w:val="121212"/>
          <w:kern w:val="36"/>
          <w:sz w:val="28"/>
          <w:szCs w:val="28"/>
        </w:rPr>
      </w:pPr>
      <w:r w:rsidRPr="00DC7284">
        <w:rPr>
          <w:rFonts w:ascii="华文仿宋" w:eastAsia="华文仿宋" w:hAnsi="华文仿宋" w:cs="宋体"/>
          <w:b/>
          <w:bCs/>
          <w:color w:val="121212"/>
          <w:kern w:val="36"/>
          <w:sz w:val="28"/>
          <w:szCs w:val="28"/>
        </w:rPr>
        <w:t>【新国标】《民用建筑通用规范》</w:t>
      </w:r>
      <w:r w:rsidR="000A3645" w:rsidRPr="00DC7284">
        <w:rPr>
          <w:rFonts w:ascii="华文仿宋" w:eastAsia="华文仿宋" w:hAnsi="华文仿宋" w:cs="宋体"/>
          <w:b/>
          <w:bCs/>
          <w:color w:val="121212"/>
          <w:kern w:val="36"/>
          <w:sz w:val="28"/>
          <w:szCs w:val="28"/>
        </w:rPr>
        <w:t>2023年3月1日起实施</w:t>
      </w:r>
      <w:r w:rsidR="000A3645">
        <w:rPr>
          <w:rFonts w:ascii="华文仿宋" w:eastAsia="华文仿宋" w:hAnsi="华文仿宋" w:cs="宋体" w:hint="eastAsia"/>
          <w:b/>
          <w:bCs/>
          <w:color w:val="121212"/>
          <w:kern w:val="36"/>
          <w:sz w:val="28"/>
          <w:szCs w:val="28"/>
        </w:rPr>
        <w:t>,</w:t>
      </w:r>
      <w:r w:rsidR="000A3645" w:rsidRPr="000A3645">
        <w:rPr>
          <w:rFonts w:ascii="华文仿宋" w:eastAsia="华文仿宋" w:hAnsi="华文仿宋" w:cs="宋体" w:hint="eastAsia"/>
          <w:b/>
          <w:bCs/>
          <w:color w:val="121212"/>
          <w:kern w:val="36"/>
          <w:sz w:val="28"/>
          <w:szCs w:val="28"/>
        </w:rPr>
        <w:t>废止</w:t>
      </w:r>
      <w:r w:rsidR="000A3645">
        <w:rPr>
          <w:rFonts w:ascii="华文仿宋" w:eastAsia="华文仿宋" w:hAnsi="华文仿宋" w:cs="宋体" w:hint="eastAsia"/>
          <w:b/>
          <w:bCs/>
          <w:color w:val="121212"/>
          <w:kern w:val="36"/>
          <w:sz w:val="28"/>
          <w:szCs w:val="28"/>
        </w:rPr>
        <w:t>和新</w:t>
      </w:r>
      <w:proofErr w:type="gramStart"/>
      <w:r w:rsidR="000A3645">
        <w:rPr>
          <w:rFonts w:ascii="华文仿宋" w:eastAsia="华文仿宋" w:hAnsi="华文仿宋" w:cs="宋体" w:hint="eastAsia"/>
          <w:b/>
          <w:bCs/>
          <w:color w:val="121212"/>
          <w:kern w:val="36"/>
          <w:sz w:val="28"/>
          <w:szCs w:val="28"/>
        </w:rPr>
        <w:t>规</w:t>
      </w:r>
      <w:proofErr w:type="gramEnd"/>
      <w:r w:rsidR="000A3645">
        <w:rPr>
          <w:rFonts w:ascii="华文仿宋" w:eastAsia="华文仿宋" w:hAnsi="华文仿宋" w:cs="宋体" w:hint="eastAsia"/>
          <w:b/>
          <w:bCs/>
          <w:color w:val="121212"/>
          <w:kern w:val="36"/>
          <w:sz w:val="28"/>
          <w:szCs w:val="28"/>
        </w:rPr>
        <w:t>有哪些？</w:t>
      </w:r>
    </w:p>
    <w:p w:rsidR="00DC7284" w:rsidRPr="00452603" w:rsidRDefault="00827C92" w:rsidP="00827C92">
      <w:pPr>
        <w:widowControl/>
        <w:shd w:val="clear" w:color="auto" w:fill="FFFFFF"/>
        <w:spacing w:before="360" w:after="360"/>
        <w:ind w:firstLineChars="200" w:firstLine="560"/>
        <w:jc w:val="left"/>
        <w:outlineLvl w:val="0"/>
        <w:rPr>
          <w:rFonts w:ascii="华文仿宋" w:eastAsia="华文仿宋" w:hAnsi="华文仿宋"/>
          <w:color w:val="121212"/>
          <w:sz w:val="28"/>
          <w:szCs w:val="28"/>
          <w:shd w:val="clear" w:color="auto" w:fill="FFFFFF"/>
        </w:rPr>
      </w:pPr>
      <w:r>
        <w:rPr>
          <w:rFonts w:ascii="华文仿宋" w:eastAsia="华文仿宋" w:hAnsi="华文仿宋" w:hint="eastAsia"/>
          <w:color w:val="121212"/>
          <w:sz w:val="28"/>
          <w:szCs w:val="28"/>
          <w:shd w:val="clear" w:color="auto" w:fill="FFFFFF"/>
        </w:rPr>
        <w:t>新</w:t>
      </w:r>
      <w:r w:rsidRPr="00827C92">
        <w:rPr>
          <w:rFonts w:ascii="华文仿宋" w:eastAsia="华文仿宋" w:hAnsi="华文仿宋" w:hint="eastAsia"/>
          <w:color w:val="121212"/>
          <w:sz w:val="28"/>
          <w:szCs w:val="28"/>
          <w:shd w:val="clear" w:color="auto" w:fill="FFFFFF"/>
        </w:rPr>
        <w:t>标《民用建筑通用规范》GB 55031-2022，自2023年3月1日起实施！</w:t>
      </w:r>
      <w:r w:rsidR="00DC7284" w:rsidRPr="00452603">
        <w:rPr>
          <w:rFonts w:ascii="华文仿宋" w:eastAsia="华文仿宋" w:hAnsi="华文仿宋"/>
          <w:color w:val="121212"/>
          <w:sz w:val="28"/>
          <w:szCs w:val="28"/>
          <w:shd w:val="clear" w:color="auto" w:fill="FFFFFF"/>
        </w:rPr>
        <w:t>本规范为强制性工程建设规范，</w:t>
      </w:r>
      <w:r w:rsidR="00DC7284" w:rsidRPr="00452603">
        <w:rPr>
          <w:rFonts w:ascii="华文仿宋" w:eastAsia="华文仿宋" w:hAnsi="华文仿宋"/>
          <w:b/>
          <w:bCs/>
          <w:color w:val="121212"/>
          <w:sz w:val="28"/>
          <w:szCs w:val="28"/>
          <w:shd w:val="clear" w:color="auto" w:fill="FFFFFF"/>
        </w:rPr>
        <w:t>全部条文必须严格执行</w:t>
      </w:r>
      <w:r w:rsidR="00DC7284" w:rsidRPr="00452603">
        <w:rPr>
          <w:rFonts w:ascii="华文仿宋" w:eastAsia="华文仿宋" w:hAnsi="华文仿宋"/>
          <w:color w:val="121212"/>
          <w:sz w:val="28"/>
          <w:szCs w:val="28"/>
          <w:shd w:val="clear" w:color="auto" w:fill="FFFFFF"/>
        </w:rPr>
        <w:t>。</w:t>
      </w:r>
      <w:r w:rsidR="00DC7284" w:rsidRPr="00452603">
        <w:rPr>
          <w:rFonts w:ascii="华文仿宋" w:eastAsia="华文仿宋" w:hAnsi="华文仿宋"/>
          <w:b/>
          <w:bCs/>
          <w:color w:val="121212"/>
          <w:sz w:val="28"/>
          <w:szCs w:val="28"/>
          <w:shd w:val="clear" w:color="auto" w:fill="FFFFFF"/>
        </w:rPr>
        <w:t>现行工程建设标准中有关规定与本规范不一致的，以本规范的规定为准。</w:t>
      </w:r>
      <w:r w:rsidR="00DC7284" w:rsidRPr="00452603">
        <w:rPr>
          <w:rFonts w:ascii="华文仿宋" w:eastAsia="华文仿宋" w:hAnsi="华文仿宋"/>
          <w:color w:val="121212"/>
          <w:sz w:val="28"/>
          <w:szCs w:val="28"/>
          <w:shd w:val="clear" w:color="auto" w:fill="FFFFFF"/>
        </w:rPr>
        <w:t>同时废止下列现行工程建设标准相关强制性条文...</w:t>
      </w:r>
      <w:bookmarkStart w:id="0" w:name="_GoBack"/>
      <w:bookmarkEnd w:id="0"/>
    </w:p>
    <w:p w:rsidR="00DC7284" w:rsidRPr="00452603" w:rsidRDefault="00DC7284">
      <w:pPr>
        <w:rPr>
          <w:rFonts w:ascii="华文仿宋" w:eastAsia="华文仿宋" w:hAnsi="华文仿宋"/>
          <w:sz w:val="28"/>
          <w:szCs w:val="28"/>
        </w:rPr>
      </w:pPr>
      <w:r w:rsidRPr="00452603">
        <w:rPr>
          <w:rFonts w:ascii="华文仿宋" w:eastAsia="华文仿宋" w:hAnsi="华文仿宋"/>
          <w:noProof/>
          <w:sz w:val="28"/>
          <w:szCs w:val="28"/>
        </w:rPr>
        <w:drawing>
          <wp:inline distT="0" distB="0" distL="0" distR="0" wp14:anchorId="00E408E0" wp14:editId="47352B94">
            <wp:extent cx="5274310" cy="2587668"/>
            <wp:effectExtent l="0" t="0" r="2540" b="3175"/>
            <wp:docPr id="50" name="图片 50" descr="https://pic4.zhimg.com/v2-a520ccc3c4318b32e4c6bab5016a8733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pic4.zhimg.com/v2-a520ccc3c4318b32e4c6bab5016a8733_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87668"/>
                    </a:xfrm>
                    <a:prstGeom prst="rect">
                      <a:avLst/>
                    </a:prstGeom>
                    <a:noFill/>
                    <a:ln>
                      <a:noFill/>
                    </a:ln>
                  </pic:spPr>
                </pic:pic>
              </a:graphicData>
            </a:graphic>
          </wp:inline>
        </w:drawing>
      </w:r>
    </w:p>
    <w:p w:rsidR="00DC7284" w:rsidRPr="00452603" w:rsidRDefault="00DC7284" w:rsidP="00DC7284">
      <w:pPr>
        <w:pStyle w:val="3"/>
        <w:shd w:val="clear" w:color="auto" w:fill="FFFFFF"/>
        <w:rPr>
          <w:rFonts w:ascii="华文仿宋" w:eastAsia="华文仿宋" w:hAnsi="华文仿宋"/>
          <w:color w:val="121212"/>
          <w:sz w:val="28"/>
          <w:szCs w:val="28"/>
        </w:rPr>
      </w:pPr>
      <w:r w:rsidRPr="00452603">
        <w:rPr>
          <w:rFonts w:ascii="华文仿宋" w:eastAsia="华文仿宋" w:hAnsi="华文仿宋"/>
          <w:color w:val="121212"/>
          <w:sz w:val="28"/>
          <w:szCs w:val="28"/>
        </w:rPr>
        <w:t>一、</w:t>
      </w:r>
      <w:proofErr w:type="gramStart"/>
      <w:r w:rsidRPr="00452603">
        <w:rPr>
          <w:rFonts w:ascii="华文仿宋" w:eastAsia="华文仿宋" w:hAnsi="华文仿宋"/>
          <w:color w:val="121212"/>
          <w:sz w:val="28"/>
          <w:szCs w:val="28"/>
        </w:rPr>
        <w:t>原相关</w:t>
      </w:r>
      <w:proofErr w:type="gramEnd"/>
      <w:r w:rsidRPr="00452603">
        <w:rPr>
          <w:rFonts w:ascii="华文仿宋" w:eastAsia="华文仿宋" w:hAnsi="华文仿宋"/>
          <w:color w:val="121212"/>
          <w:sz w:val="28"/>
          <w:szCs w:val="28"/>
        </w:rPr>
        <w:t>强制性条文废止，新规范全文强制。</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废止《民用建筑设计统一标准》（后简称“原《标准》”）GB 50352-2019第4.3.1、6.7.4、6.8.6、6.8.9条。</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·废止第4.3.1条</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lastRenderedPageBreak/>
        <w:drawing>
          <wp:inline distT="0" distB="0" distL="0" distR="0" wp14:anchorId="5DD59B11" wp14:editId="66AAB95C">
            <wp:extent cx="5274310" cy="2580182"/>
            <wp:effectExtent l="0" t="0" r="2540" b="0"/>
            <wp:docPr id="51" name="图片 51" descr="https://pic3.zhimg.com/v2-ff2608a6f96d171b2eeecac9b75af0d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pic3.zhimg.com/v2-ff2608a6f96d171b2eeecac9b75af0d6_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580182"/>
                    </a:xfrm>
                    <a:prstGeom prst="rect">
                      <a:avLst/>
                    </a:prstGeom>
                    <a:noFill/>
                    <a:ln>
                      <a:noFill/>
                    </a:ln>
                  </pic:spPr>
                </pic:pic>
              </a:graphicData>
            </a:graphic>
          </wp:inline>
        </w:drawing>
      </w:r>
      <w:r w:rsidRPr="00452603">
        <w:rPr>
          <w:rFonts w:ascii="华文仿宋" w:eastAsia="华文仿宋" w:hAnsi="华文仿宋"/>
          <w:color w:val="121212"/>
          <w:sz w:val="28"/>
          <w:szCs w:val="28"/>
        </w:rPr>
        <w:t xml:space="preserve"> 4.3.1除骑楼、 建筑连接体、地铁相关设施及连接城市的管线、管沟、管廊等市政公共设施以外，建筑物及其附属的下列设施不应突出道路红线或用地红线建造:</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1、地下设施，应包括支护桩、地下连续墙、地下室底板及其基础、化粪池、各类水池、处理池、沉淀池等构筑物及其他附属设施等;</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2、地上设施，应包括门廊、连廊、阳台、室外楼梯、凸窗、空调机位、雨篷、挑檐、装饰构架、固定遮阳板、台阶、坡道、花池、围墙、平台、散水明沟、地下室进风及排风口、地下室出入口、集水井、采光井、烟囱等。</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&amp;《GB55031-2022 民用建筑通用规范》最新规定：</w:t>
      </w:r>
      <w:r w:rsidRPr="00452603">
        <w:rPr>
          <w:rFonts w:ascii="华文仿宋" w:eastAsia="华文仿宋" w:hAnsi="华文仿宋"/>
          <w:noProof/>
          <w:sz w:val="28"/>
          <w:szCs w:val="28"/>
        </w:rPr>
        <w:drawing>
          <wp:inline distT="0" distB="0" distL="0" distR="0" wp14:anchorId="3E95E4A0" wp14:editId="17709EAD">
            <wp:extent cx="5274310" cy="741247"/>
            <wp:effectExtent l="0" t="0" r="2540" b="1905"/>
            <wp:docPr id="54" name="图片 54" descr="https://pic1.zhimg.com/v2-9e4e7e292d1d736abec174d730a06aa8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pic1.zhimg.com/v2-9e4e7e292d1d736abec174d730a06aa8_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1247"/>
                    </a:xfrm>
                    <a:prstGeom prst="rect">
                      <a:avLst/>
                    </a:prstGeom>
                    <a:noFill/>
                    <a:ln>
                      <a:noFill/>
                    </a:ln>
                  </pic:spPr>
                </pic:pic>
              </a:graphicData>
            </a:graphic>
          </wp:inline>
        </w:drawing>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lastRenderedPageBreak/>
        <w:drawing>
          <wp:inline distT="0" distB="0" distL="0" distR="0" wp14:anchorId="56841070" wp14:editId="23777E5E">
            <wp:extent cx="5274310" cy="1964704"/>
            <wp:effectExtent l="0" t="0" r="2540" b="0"/>
            <wp:docPr id="52" name="图片 52" descr="https://pic3.zhimg.com/v2-b43f88b88a364b04ee44e053d8998d3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pic3.zhimg.com/v2-b43f88b88a364b04ee44e053d8998d32_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964704"/>
                    </a:xfrm>
                    <a:prstGeom prst="rect">
                      <a:avLst/>
                    </a:prstGeom>
                    <a:noFill/>
                    <a:ln>
                      <a:noFill/>
                    </a:ln>
                  </pic:spPr>
                </pic:pic>
              </a:graphicData>
            </a:graphic>
          </wp:inline>
        </w:drawing>
      </w:r>
      <w:r w:rsidRPr="00452603">
        <w:rPr>
          <w:rFonts w:ascii="华文仿宋" w:eastAsia="华文仿宋" w:hAnsi="华文仿宋"/>
          <w:color w:val="121212"/>
          <w:sz w:val="28"/>
          <w:szCs w:val="28"/>
        </w:rPr>
        <w:t xml:space="preserve"> 4.2 建筑控制</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4.2.1 除建筑连接体、地铁相关设施以及管线、管沟、管廊等市政设施外，建筑物及其附属设施不应突出道路红线或用地红线。</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4.2.2 除地下室、地下车库出入口，以及窗井、台阶、坡道、雨篷、挑檐等设施外，建(构)筑物的主体不应突出建筑控制线。</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4.2.3 骑楼、建筑连接体、沿道路红线的悬挑建筑等，不应影响交通、环保及消防安全。</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2、废止第6.7.4条</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drawing>
          <wp:inline distT="0" distB="0" distL="0" distR="0" wp14:anchorId="3A37A248" wp14:editId="03597E99">
            <wp:extent cx="5274310" cy="807153"/>
            <wp:effectExtent l="0" t="0" r="2540" b="0"/>
            <wp:docPr id="55" name="图片 55" descr="https://pic3.zhimg.com/v2-0fa674e0999742116c9f5f74387117b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pic3.zhimg.com/v2-0fa674e0999742116c9f5f74387117b2_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07153"/>
                    </a:xfrm>
                    <a:prstGeom prst="rect">
                      <a:avLst/>
                    </a:prstGeom>
                    <a:noFill/>
                    <a:ln>
                      <a:noFill/>
                    </a:ln>
                  </pic:spPr>
                </pic:pic>
              </a:graphicData>
            </a:graphic>
          </wp:inline>
        </w:drawing>
      </w:r>
      <w:r w:rsidRPr="00452603">
        <w:rPr>
          <w:rFonts w:ascii="华文仿宋" w:eastAsia="华文仿宋" w:hAnsi="华文仿宋"/>
          <w:color w:val="121212"/>
          <w:sz w:val="28"/>
          <w:szCs w:val="28"/>
        </w:rPr>
        <w:t xml:space="preserve"> 6.7.4 住宅、托儿所、幼儿园、中小学及其他少年儿童专用活动场所的栏杆必须采取防止攀爬的构造。当采用垂直杆件做栏杆时，其杆件净间距不应大于0. 11m。</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lastRenderedPageBreak/>
        <w:t>&amp;《GB55031-2022 民用建筑通用规范》最新规定：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6.6.3 少年儿童专用活动场所的栏杆应采取防止攀滑措施，当采用垂直杆件做栏杆时，其杆件净间距不应大于0. 11m。</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3、废止第6.8.6条</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drawing>
          <wp:inline distT="0" distB="0" distL="0" distR="0" wp14:anchorId="1B5A7047" wp14:editId="77920C36">
            <wp:extent cx="5274310" cy="913046"/>
            <wp:effectExtent l="0" t="0" r="2540" b="1905"/>
            <wp:docPr id="57" name="图片 57" descr="https://pic1.zhimg.com/v2-e6ffaaccc4a9da71f16b332f6d9bc26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pic1.zhimg.com/v2-e6ffaaccc4a9da71f16b332f6d9bc264_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913046"/>
                    </a:xfrm>
                    <a:prstGeom prst="rect">
                      <a:avLst/>
                    </a:prstGeom>
                    <a:noFill/>
                    <a:ln>
                      <a:noFill/>
                    </a:ln>
                  </pic:spPr>
                </pic:pic>
              </a:graphicData>
            </a:graphic>
          </wp:inline>
        </w:drawing>
      </w:r>
      <w:r w:rsidRPr="00452603">
        <w:rPr>
          <w:rFonts w:ascii="华文仿宋" w:eastAsia="华文仿宋" w:hAnsi="华文仿宋"/>
          <w:color w:val="121212"/>
          <w:sz w:val="28"/>
          <w:szCs w:val="28"/>
        </w:rPr>
        <w:t xml:space="preserve"> 6.8.6 楼梯平台上部及下部过道处的净高不应小于2.0m，梯段净高不应小于2. 2m。</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&amp;《GB55031-2022 民用建筑通用规范》最新规定：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5.3.7 公共楼梯休息平台上部及下部过道处的净高不应小于2.00m，楼梯段净高不应小于2.2m。</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4、废止第6.8.9条</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6.8.9 托儿所、幼儿园、中小学校及其他少年儿童专用活动场所，当楼梯井净宽大于0.2m时，必须采取防止少年儿童坠落的措施。</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&amp;《GB55031-2022 民用建筑通用规范》最新规定：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5.3.11 当少年儿童专用活动场所的公共楼梯井净宽大于0.2m时，应采取防止少年儿童坠落的措施。</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lastRenderedPageBreak/>
        <w:t>二、建筑高度</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原有关建筑高度的规定（不属于强制性条文，但可能属于“现行工程建设标准中有关规定与本规范不一致的，以本规范的规定为准”被废止）：</w:t>
      </w:r>
    </w:p>
    <w:p w:rsidR="00DC7284" w:rsidRPr="00452603" w:rsidRDefault="00DC7284">
      <w:pPr>
        <w:rPr>
          <w:rFonts w:ascii="华文仿宋" w:eastAsia="华文仿宋" w:hAnsi="华文仿宋"/>
          <w:sz w:val="28"/>
          <w:szCs w:val="28"/>
        </w:rPr>
      </w:pPr>
      <w:r w:rsidRPr="00452603">
        <w:rPr>
          <w:rFonts w:ascii="华文仿宋" w:eastAsia="华文仿宋" w:hAnsi="华文仿宋"/>
          <w:noProof/>
          <w:sz w:val="28"/>
          <w:szCs w:val="28"/>
        </w:rPr>
        <w:drawing>
          <wp:inline distT="0" distB="0" distL="0" distR="0" wp14:anchorId="38EB6B34" wp14:editId="3A7C7FD6">
            <wp:extent cx="5274310" cy="3927990"/>
            <wp:effectExtent l="0" t="0" r="2540" b="0"/>
            <wp:docPr id="59" name="图片 59" descr="https://pic3.zhimg.com/v2-6e715be6c647f2d6ef605bf95853cce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pic3.zhimg.com/v2-6e715be6c647f2d6ef605bf95853cce6_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27990"/>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drawing>
          <wp:inline distT="0" distB="0" distL="0" distR="0" wp14:anchorId="5540F554" wp14:editId="38108762">
            <wp:extent cx="5274310" cy="1830111"/>
            <wp:effectExtent l="0" t="0" r="2540" b="0"/>
            <wp:docPr id="60" name="图片 60" descr="https://pic1.zhimg.com/v2-a51e83a5f0e5a13cded169b81963221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pic1.zhimg.com/v2-a51e83a5f0e5a13cded169b819632210_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830111"/>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lastRenderedPageBreak/>
        <w:drawing>
          <wp:inline distT="0" distB="0" distL="0" distR="0" wp14:anchorId="6D269BB5" wp14:editId="7D30582D">
            <wp:extent cx="5274310" cy="2220572"/>
            <wp:effectExtent l="0" t="0" r="2540" b="8890"/>
            <wp:docPr id="61" name="图片 61" descr="https://pic4.zhimg.com/v2-712a47e52d623b0cc8bc7a6dd291d393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pic4.zhimg.com/v2-712a47e52d623b0cc8bc7a6dd291d393_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220572"/>
                    </a:xfrm>
                    <a:prstGeom prst="rect">
                      <a:avLst/>
                    </a:prstGeom>
                    <a:noFill/>
                    <a:ln>
                      <a:noFill/>
                    </a:ln>
                  </pic:spPr>
                </pic:pic>
              </a:graphicData>
            </a:graphic>
          </wp:inline>
        </w:drawing>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shd w:val="clear" w:color="auto" w:fill="FFFFFF"/>
        </w:rPr>
        <w:t>《GB55031-2022 民用建筑通用规范》最新规定：</w:t>
      </w:r>
      <w:r w:rsidRPr="00452603">
        <w:rPr>
          <w:rFonts w:ascii="华文仿宋" w:eastAsia="华文仿宋" w:hAnsi="华文仿宋"/>
          <w:noProof/>
          <w:sz w:val="28"/>
          <w:szCs w:val="28"/>
        </w:rPr>
        <w:drawing>
          <wp:inline distT="0" distB="0" distL="0" distR="0" wp14:anchorId="42B3A611" wp14:editId="00F6AD6D">
            <wp:extent cx="5274310" cy="4758677"/>
            <wp:effectExtent l="0" t="0" r="2540" b="4445"/>
            <wp:docPr id="65" name="图片 65" descr="https://pic4.zhimg.com/v2-75ab3228e64df60cd7845248095384d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pic4.zhimg.com/v2-75ab3228e64df60cd7845248095384d7_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758677"/>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lastRenderedPageBreak/>
        <w:drawing>
          <wp:inline distT="0" distB="0" distL="0" distR="0" wp14:anchorId="1267DA82" wp14:editId="353671A3">
            <wp:extent cx="5274310" cy="1388445"/>
            <wp:effectExtent l="0" t="0" r="2540" b="2540"/>
            <wp:docPr id="66" name="图片 66" descr="https://pic3.zhimg.com/v2-c98ace53f86e2937a90cba56c83f39ba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pic3.zhimg.com/v2-c98ace53f86e2937a90cba56c83f39ba_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388445"/>
                    </a:xfrm>
                    <a:prstGeom prst="rect">
                      <a:avLst/>
                    </a:prstGeom>
                    <a:noFill/>
                    <a:ln>
                      <a:noFill/>
                    </a:ln>
                  </pic:spPr>
                </pic:pic>
              </a:graphicData>
            </a:graphic>
          </wp:inline>
        </w:drawing>
      </w:r>
      <w:r w:rsidRPr="00452603">
        <w:rPr>
          <w:rFonts w:ascii="华文仿宋" w:eastAsia="华文仿宋" w:hAnsi="华文仿宋"/>
          <w:b/>
          <w:bCs/>
          <w:color w:val="121212"/>
          <w:sz w:val="28"/>
          <w:szCs w:val="28"/>
        </w:rPr>
        <w:t>三、建筑面积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原《标准》无建筑面积的规定，主要规定依据《建筑工程建筑面积计算规范》GB/T 50353-2013 （后简称“面积计算规范”）。按照“现行工程建设标准中有关规定与本规范不一致的，以本规范的规定为准”，则《建筑工程建筑面积计算规范》GB/T 50353-2013 同样，在本规范约束的范围。</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《建筑工程建筑面积计算规范》GB/T 50353-2013：</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3.0.1 建筑物的建筑面积应按</w:t>
      </w:r>
      <w:r w:rsidRPr="00452603">
        <w:rPr>
          <w:rFonts w:ascii="华文仿宋" w:eastAsia="华文仿宋" w:hAnsi="华文仿宋"/>
          <w:b/>
          <w:bCs/>
          <w:color w:val="121212"/>
          <w:sz w:val="28"/>
          <w:szCs w:val="28"/>
        </w:rPr>
        <w:t>自然层外墙结构外围水平面积</w:t>
      </w:r>
      <w:r w:rsidRPr="00452603">
        <w:rPr>
          <w:rFonts w:ascii="华文仿宋" w:eastAsia="华文仿宋" w:hAnsi="华文仿宋"/>
          <w:color w:val="121212"/>
          <w:sz w:val="28"/>
          <w:szCs w:val="28"/>
        </w:rPr>
        <w:t>之和计算。结构层高在2．20m及以上的，应计算全面积；结构层高在2．20m以下的，应计算1/2面积。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条文说明</w:t>
      </w:r>
      <w:r w:rsidRPr="00452603">
        <w:rPr>
          <w:rFonts w:ascii="华文仿宋" w:eastAsia="华文仿宋" w:hAnsi="华文仿宋"/>
          <w:color w:val="121212"/>
          <w:sz w:val="28"/>
          <w:szCs w:val="28"/>
        </w:rPr>
        <w:t>3.0.1 建筑面积计算，在主体结构内形成的建筑空间，满足计算面积结构层高要求的均应按本条规定计算建筑面积。主体结构外的室外阳台、雨篷、檐廊、室外走廊、室外楼梯等按相应条款计算建筑面积。当外墙结构本身在一个层高范围内不等厚时，以楼地面结构标高处的外围水平面积计算。</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lastRenderedPageBreak/>
        <w:t>《建筑工程建筑面积计算规范》GB/T 50353-2013 住建部答疑：</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请教《GBT50353-2013建筑工程建筑面积计算规范》中，以下几个关于建筑面积的理解。（1）对于3.0.1条款中，“建筑物的建筑面积应按自然层外墙结构外围水平面积之各计算。”的定义，是否可以等同于“建筑物整栋楼的基底面积”的数值？（2）对于（1）中的“建筑物整栋楼的基底面积”，如果这栋楼为N标准层，并且每层的建筑户型设计是完全相同。那么，每一层楼分摊的基底面积是不是应该等于N</w:t>
      </w:r>
      <w:proofErr w:type="gramStart"/>
      <w:r w:rsidRPr="00452603">
        <w:rPr>
          <w:rFonts w:ascii="华文仿宋" w:eastAsia="华文仿宋" w:hAnsi="华文仿宋"/>
          <w:color w:val="121212"/>
          <w:sz w:val="28"/>
          <w:szCs w:val="28"/>
        </w:rPr>
        <w:t>分之一</w:t>
      </w:r>
      <w:proofErr w:type="gramEnd"/>
      <w:r w:rsidRPr="00452603">
        <w:rPr>
          <w:rFonts w:ascii="华文仿宋" w:eastAsia="华文仿宋" w:hAnsi="华文仿宋"/>
          <w:color w:val="121212"/>
          <w:sz w:val="28"/>
          <w:szCs w:val="28"/>
        </w:rPr>
        <w:t>的（1）中定义的建筑面积？（3）在3.0.21条款中，“在主体结构内的阳台，应按其结构外围水平面积计算全面积”。此定义中的“阳台在主体结构内”，与阳台是否被封闭，是否有关？</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1.自然层外墙结构外围面积不能够等同于基底面积；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2.《GBT50353-2013建筑工程建筑面积计算规范》中没有关于面积分摊的规定；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3.主体结构内阳台与阳台是否封闭没有直接关系。</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可以看到：</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1、建筑面积的由原来的面积计算规范（GBT50353）表述“按自然层外墙结构外围水平面积之和计算”，调整为新规范表述“每个自然层楼（地）面处围护结构外表面所围空间的水平投影面积计算”。</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lastRenderedPageBreak/>
        <w:t>2、</w:t>
      </w:r>
      <w:proofErr w:type="gramStart"/>
      <w:r w:rsidRPr="00452603">
        <w:rPr>
          <w:rFonts w:ascii="华文仿宋" w:eastAsia="华文仿宋" w:hAnsi="华文仿宋"/>
          <w:b/>
          <w:bCs/>
          <w:color w:val="121212"/>
          <w:sz w:val="28"/>
          <w:szCs w:val="28"/>
        </w:rPr>
        <w:t>明确总</w:t>
      </w:r>
      <w:proofErr w:type="gramEnd"/>
      <w:r w:rsidRPr="00452603">
        <w:rPr>
          <w:rFonts w:ascii="华文仿宋" w:eastAsia="华文仿宋" w:hAnsi="华文仿宋"/>
          <w:b/>
          <w:bCs/>
          <w:color w:val="121212"/>
          <w:sz w:val="28"/>
          <w:szCs w:val="28"/>
        </w:rPr>
        <w:t>建筑面积按地上和地下建筑面积之和计算。</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《GB55031-2022 民用建筑通用规范》最新规定：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drawing>
          <wp:inline distT="0" distB="0" distL="0" distR="0" wp14:anchorId="04B25957" wp14:editId="491A15A4">
            <wp:extent cx="5274310" cy="6399612"/>
            <wp:effectExtent l="0" t="0" r="2540" b="1270"/>
            <wp:docPr id="67" name="图片 67" descr="https://pic3.zhimg.com/v2-adc746b2d4663ac0b003116d226b7bee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pic3.zhimg.com/v2-adc746b2d4663ac0b003116d226b7bee_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6399612"/>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lastRenderedPageBreak/>
        <w:drawing>
          <wp:inline distT="0" distB="0" distL="0" distR="0" wp14:anchorId="08BD0B29" wp14:editId="5761E634">
            <wp:extent cx="5274310" cy="2709299"/>
            <wp:effectExtent l="0" t="0" r="2540" b="0"/>
            <wp:docPr id="68" name="图片 68" descr="https://pic3.zhimg.com/v2-8ee16cfe4465257ac5fcefa3a91179d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pic3.zhimg.com/v2-8ee16cfe4465257ac5fcefa3a91179d6_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709299"/>
                    </a:xfrm>
                    <a:prstGeom prst="rect">
                      <a:avLst/>
                    </a:prstGeom>
                    <a:noFill/>
                    <a:ln>
                      <a:noFill/>
                    </a:ln>
                  </pic:spPr>
                </pic:pic>
              </a:graphicData>
            </a:graphic>
          </wp:inline>
        </w:drawing>
      </w:r>
      <w:r w:rsidRPr="00452603">
        <w:rPr>
          <w:rFonts w:ascii="华文仿宋" w:eastAsia="华文仿宋" w:hAnsi="华文仿宋"/>
          <w:b/>
          <w:bCs/>
          <w:color w:val="121212"/>
          <w:sz w:val="28"/>
          <w:szCs w:val="28"/>
        </w:rPr>
        <w:t>四、关于阳台建筑面积：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属于“现行工程建设标准中有关规定与本规范不一致的，以本规范的规定为准”约束的范围。</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可以看到：</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关于阳台的建筑面积计算规则已经发生改变，单看3.1.5条表述为“围护设施”，后款表述为“阳台封闭”情形，实则应结合3.1.4的规定来理解。可以预知的是，“阳台封闭”的状态、时点认定又将成为争议焦点。但，值得注意的是与房产测量规范进行了有效衔接。</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《GBT50353-2013建筑工程建筑面积计算规范》</w:t>
      </w:r>
      <w:r w:rsidRPr="00452603">
        <w:rPr>
          <w:rFonts w:ascii="华文仿宋" w:eastAsia="华文仿宋" w:hAnsi="华文仿宋"/>
          <w:color w:val="121212"/>
          <w:sz w:val="28"/>
          <w:szCs w:val="28"/>
        </w:rPr>
        <w:t>3.0.21 在主体结构内的阳台，应按其结构外围水平面积计算全面积；在</w:t>
      </w:r>
      <w:r w:rsidRPr="00452603">
        <w:rPr>
          <w:rFonts w:ascii="华文仿宋" w:eastAsia="华文仿宋" w:hAnsi="华文仿宋"/>
          <w:b/>
          <w:bCs/>
          <w:color w:val="121212"/>
          <w:sz w:val="28"/>
          <w:szCs w:val="28"/>
        </w:rPr>
        <w:t>主体结构外</w:t>
      </w:r>
      <w:r w:rsidRPr="00452603">
        <w:rPr>
          <w:rFonts w:ascii="华文仿宋" w:eastAsia="华文仿宋" w:hAnsi="华文仿宋"/>
          <w:color w:val="121212"/>
          <w:sz w:val="28"/>
          <w:szCs w:val="28"/>
        </w:rPr>
        <w:t>的阳台，应按其结构底板水平投影面积计算1/2 面积。</w:t>
      </w:r>
      <w:r w:rsidRPr="00452603">
        <w:rPr>
          <w:rFonts w:ascii="华文仿宋" w:eastAsia="华文仿宋" w:hAnsi="华文仿宋"/>
          <w:b/>
          <w:bCs/>
          <w:color w:val="121212"/>
          <w:sz w:val="28"/>
          <w:szCs w:val="28"/>
        </w:rPr>
        <w:t>条文说明</w:t>
      </w:r>
      <w:r w:rsidRPr="00452603">
        <w:rPr>
          <w:rFonts w:ascii="华文仿宋" w:eastAsia="华文仿宋" w:hAnsi="华文仿宋"/>
          <w:color w:val="121212"/>
          <w:sz w:val="28"/>
          <w:szCs w:val="28"/>
        </w:rPr>
        <w:t>3.0.21 建筑物的阳台，不论其形式如何，均以</w:t>
      </w:r>
      <w:r w:rsidRPr="00452603">
        <w:rPr>
          <w:rFonts w:ascii="华文仿宋" w:eastAsia="华文仿宋" w:hAnsi="华文仿宋"/>
          <w:b/>
          <w:bCs/>
          <w:color w:val="121212"/>
          <w:sz w:val="28"/>
          <w:szCs w:val="28"/>
        </w:rPr>
        <w:t>建筑物主体结构为界</w:t>
      </w:r>
      <w:r w:rsidRPr="00452603">
        <w:rPr>
          <w:rFonts w:ascii="华文仿宋" w:eastAsia="华文仿宋" w:hAnsi="华文仿宋"/>
          <w:color w:val="121212"/>
          <w:sz w:val="28"/>
          <w:szCs w:val="28"/>
        </w:rPr>
        <w:t>分别计算建筑面积。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lastRenderedPageBreak/>
        <w:t>《建筑工程建筑面积计算规范》GB/T 50353-2013 住建部答疑：</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（3）在3.0.21条款中，“在主体结构内的阳台，应按其结构外围水平面积计算全面积”。此定义中的“阳台在主体结构内”，与阳台是否被封闭，是否有关？</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2021-09-23 回复：3.主体结构内阳台与阳台是否封闭没有直接关系。</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而行业内知道的《房产测量规范GB/T17986-2000》，规定阳台就是按封闭状态来计算。</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noProof/>
          <w:sz w:val="28"/>
          <w:szCs w:val="28"/>
        </w:rPr>
        <w:lastRenderedPageBreak/>
        <w:drawing>
          <wp:inline distT="0" distB="0" distL="0" distR="0" wp14:anchorId="61C94F93" wp14:editId="02FEAFD2">
            <wp:extent cx="5274310" cy="7584388"/>
            <wp:effectExtent l="0" t="0" r="2540" b="0"/>
            <wp:docPr id="69" name="图片 69" descr="https://pic4.zhimg.com/80/v2-06e8296671444a55ff8a8f89c2f21807_720w.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pic4.zhimg.com/80/v2-06e8296671444a55ff8a8f89c2f21807_720w.web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584388"/>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lastRenderedPageBreak/>
        <w:drawing>
          <wp:inline distT="0" distB="0" distL="0" distR="0" wp14:anchorId="7FABB09A" wp14:editId="78A2EF51">
            <wp:extent cx="5274310" cy="5331164"/>
            <wp:effectExtent l="0" t="0" r="2540" b="3175"/>
            <wp:docPr id="70" name="图片 70" descr="https://pic3.zhimg.com/v2-d249e735a7594b622a2d5f5a34b608d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pic3.zhimg.com/v2-d249e735a7594b622a2d5f5a34b608d6_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331164"/>
                    </a:xfrm>
                    <a:prstGeom prst="rect">
                      <a:avLst/>
                    </a:prstGeom>
                    <a:noFill/>
                    <a:ln>
                      <a:noFill/>
                    </a:ln>
                  </pic:spPr>
                </pic:pic>
              </a:graphicData>
            </a:graphic>
          </wp:inline>
        </w:drawing>
      </w:r>
      <w:r w:rsidRPr="00452603">
        <w:rPr>
          <w:rFonts w:ascii="华文仿宋" w:eastAsia="华文仿宋" w:hAnsi="华文仿宋" w:hint="eastAsia"/>
          <w:sz w:val="28"/>
          <w:szCs w:val="28"/>
        </w:rPr>
        <w:t>《GB55031-2022 民用建筑通用规范》最新规定：</w:t>
      </w:r>
      <w:r w:rsidRPr="00452603">
        <w:rPr>
          <w:rFonts w:ascii="华文仿宋" w:eastAsia="华文仿宋" w:hAnsi="华文仿宋"/>
          <w:noProof/>
          <w:sz w:val="28"/>
          <w:szCs w:val="28"/>
        </w:rPr>
        <w:lastRenderedPageBreak/>
        <w:drawing>
          <wp:inline distT="0" distB="0" distL="0" distR="0" wp14:anchorId="1DC3F26F" wp14:editId="0138577B">
            <wp:extent cx="5274310" cy="3671845"/>
            <wp:effectExtent l="0" t="0" r="2540" b="5080"/>
            <wp:docPr id="71" name="图片 71" descr="https://pic3.zhimg.com/v2-ffb67c1024ca3738f23205a9d0ea495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pic3.zhimg.com/v2-ffb67c1024ca3738f23205a9d0ea4956_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671845"/>
                    </a:xfrm>
                    <a:prstGeom prst="rect">
                      <a:avLst/>
                    </a:prstGeom>
                    <a:noFill/>
                    <a:ln>
                      <a:noFill/>
                    </a:ln>
                  </pic:spPr>
                </pic:pic>
              </a:graphicData>
            </a:graphic>
          </wp:inline>
        </w:drawing>
      </w:r>
      <w:r w:rsidRPr="00452603">
        <w:rPr>
          <w:rFonts w:ascii="华文仿宋" w:eastAsia="华文仿宋" w:hAnsi="华文仿宋"/>
          <w:b/>
          <w:bCs/>
          <w:sz w:val="28"/>
          <w:szCs w:val="28"/>
        </w:rPr>
        <w:t>同时，还应继承《GBT50353-2013建筑工程建筑面积计算规范》对于“</w:t>
      </w:r>
      <w:r w:rsidRPr="00452603">
        <w:rPr>
          <w:rFonts w:ascii="华文仿宋" w:eastAsia="华文仿宋" w:hAnsi="华文仿宋"/>
          <w:sz w:val="28"/>
          <w:szCs w:val="28"/>
        </w:rPr>
        <w:t>围护结构”、“围护设施”的定义:</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sz w:val="28"/>
          <w:szCs w:val="28"/>
        </w:rPr>
        <w:t>2.0.4 围护结构 building enclosure 围</w:t>
      </w:r>
      <w:proofErr w:type="gramStart"/>
      <w:r w:rsidRPr="00452603">
        <w:rPr>
          <w:rFonts w:ascii="华文仿宋" w:eastAsia="华文仿宋" w:hAnsi="华文仿宋"/>
          <w:sz w:val="28"/>
          <w:szCs w:val="28"/>
        </w:rPr>
        <w:t>合建筑</w:t>
      </w:r>
      <w:proofErr w:type="gramEnd"/>
      <w:r w:rsidRPr="00452603">
        <w:rPr>
          <w:rFonts w:ascii="华文仿宋" w:eastAsia="华文仿宋" w:hAnsi="华文仿宋"/>
          <w:sz w:val="28"/>
          <w:szCs w:val="28"/>
        </w:rPr>
        <w:t>空间的墙体、门、窗。</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sz w:val="28"/>
          <w:szCs w:val="28"/>
        </w:rPr>
        <w:t>2.0.7 围护设施 enclosure facilities 为保障安全而设置的栏杆、栏板等围挡。</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b/>
          <w:bCs/>
          <w:sz w:val="28"/>
          <w:szCs w:val="28"/>
        </w:rPr>
        <w:t>五、关于室外设计地坪：</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b/>
          <w:bCs/>
          <w:sz w:val="28"/>
          <w:szCs w:val="28"/>
        </w:rPr>
        <w:t>属于“现行工程建设标准中有关规定与本规范不一致的，以本规范的规定为准”约束的范围。</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b/>
          <w:bCs/>
          <w:sz w:val="28"/>
          <w:szCs w:val="28"/>
        </w:rPr>
        <w:t>可以看到：</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b/>
          <w:bCs/>
          <w:sz w:val="28"/>
          <w:szCs w:val="28"/>
        </w:rPr>
        <w:lastRenderedPageBreak/>
        <w:t>3.1.3条首次将“室外设计地坪”作为，衡量地上与地下的分界，表述为“室外设计地坪”情形，应结合3.1.4的规定来理解。可以预知的是，“室外地坪”的错层设计、时点认定又将成为争议焦点。</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b/>
          <w:bCs/>
          <w:sz w:val="28"/>
          <w:szCs w:val="28"/>
        </w:rPr>
        <w:t>《GBT50353-2013建筑工程建筑面积计算规范》</w:t>
      </w:r>
    </w:p>
    <w:p w:rsidR="00DC7284" w:rsidRPr="00452603" w:rsidRDefault="00DC7284" w:rsidP="00DC7284">
      <w:pPr>
        <w:pStyle w:val="a5"/>
        <w:spacing w:before="336" w:beforeAutospacing="0" w:after="336" w:afterAutospacing="0"/>
        <w:rPr>
          <w:rFonts w:ascii="华文仿宋" w:eastAsia="华文仿宋" w:hAnsi="华文仿宋"/>
          <w:sz w:val="28"/>
          <w:szCs w:val="28"/>
        </w:rPr>
      </w:pPr>
      <w:r w:rsidRPr="00452603">
        <w:rPr>
          <w:rFonts w:ascii="华文仿宋" w:eastAsia="华文仿宋" w:hAnsi="华文仿宋"/>
          <w:sz w:val="28"/>
          <w:szCs w:val="28"/>
        </w:rPr>
        <w:t>2.0.8 地下室 basement 室内地平面低于</w:t>
      </w:r>
      <w:r w:rsidRPr="00452603">
        <w:rPr>
          <w:rFonts w:ascii="华文仿宋" w:eastAsia="华文仿宋" w:hAnsi="华文仿宋"/>
          <w:b/>
          <w:bCs/>
          <w:sz w:val="28"/>
          <w:szCs w:val="28"/>
        </w:rPr>
        <w:t>室外地平面</w:t>
      </w:r>
      <w:r w:rsidRPr="00452603">
        <w:rPr>
          <w:rFonts w:ascii="华文仿宋" w:eastAsia="华文仿宋" w:hAnsi="华文仿宋"/>
          <w:sz w:val="28"/>
          <w:szCs w:val="28"/>
        </w:rPr>
        <w:t>的高度超过室内净高的1/2的房间。2.0.9 半地下室 semi-basement 室内地平面低于</w:t>
      </w:r>
      <w:r w:rsidRPr="00452603">
        <w:rPr>
          <w:rFonts w:ascii="华文仿宋" w:eastAsia="华文仿宋" w:hAnsi="华文仿宋"/>
          <w:b/>
          <w:bCs/>
          <w:sz w:val="28"/>
          <w:szCs w:val="28"/>
        </w:rPr>
        <w:t>室外地平面</w:t>
      </w:r>
      <w:r w:rsidRPr="00452603">
        <w:rPr>
          <w:rFonts w:ascii="华文仿宋" w:eastAsia="华文仿宋" w:hAnsi="华文仿宋"/>
          <w:sz w:val="28"/>
          <w:szCs w:val="28"/>
        </w:rPr>
        <w:t>的高度超过室内净高的1/3，且不超过1/2的房间。</w:t>
      </w:r>
    </w:p>
    <w:p w:rsidR="00DC7284" w:rsidRPr="00452603" w:rsidRDefault="00DC7284" w:rsidP="00DC7284">
      <w:pPr>
        <w:rPr>
          <w:rFonts w:ascii="华文仿宋" w:eastAsia="华文仿宋" w:hAnsi="华文仿宋"/>
          <w:sz w:val="28"/>
          <w:szCs w:val="28"/>
        </w:rPr>
      </w:pPr>
      <w:r w:rsidRPr="00452603">
        <w:rPr>
          <w:rFonts w:ascii="华文仿宋" w:eastAsia="华文仿宋" w:hAnsi="华文仿宋"/>
          <w:noProof/>
          <w:sz w:val="28"/>
          <w:szCs w:val="28"/>
        </w:rPr>
        <w:drawing>
          <wp:inline distT="0" distB="0" distL="0" distR="0" wp14:anchorId="6980C446" wp14:editId="0BF6B349">
            <wp:extent cx="5274310" cy="792821"/>
            <wp:effectExtent l="0" t="0" r="2540" b="7620"/>
            <wp:docPr id="72" name="图片 72" descr="https://pic2.zhimg.com/v2-3caf99d709a874543853f69deaedef5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pic2.zhimg.com/v2-3caf99d709a874543853f69deaedef51_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92821"/>
                    </a:xfrm>
                    <a:prstGeom prst="rect">
                      <a:avLst/>
                    </a:prstGeom>
                    <a:noFill/>
                    <a:ln>
                      <a:noFill/>
                    </a:ln>
                  </pic:spPr>
                </pic:pic>
              </a:graphicData>
            </a:graphic>
          </wp:inline>
        </w:drawing>
      </w:r>
      <w:r w:rsidRPr="00452603">
        <w:rPr>
          <w:rFonts w:ascii="华文仿宋" w:eastAsia="华文仿宋" w:hAnsi="华文仿宋" w:hint="eastAsia"/>
          <w:sz w:val="28"/>
          <w:szCs w:val="28"/>
        </w:rPr>
        <w:t>六、关于不应计算建筑面积情形：</w:t>
      </w:r>
    </w:p>
    <w:p w:rsidR="00DC7284" w:rsidRPr="00452603" w:rsidRDefault="00DC7284" w:rsidP="00DC7284">
      <w:pPr>
        <w:rPr>
          <w:rFonts w:ascii="华文仿宋" w:eastAsia="华文仿宋" w:hAnsi="华文仿宋"/>
          <w:sz w:val="28"/>
          <w:szCs w:val="28"/>
        </w:rPr>
      </w:pPr>
    </w:p>
    <w:p w:rsidR="00DC7284" w:rsidRPr="00452603" w:rsidRDefault="00DC7284" w:rsidP="00DC7284">
      <w:pPr>
        <w:rPr>
          <w:rFonts w:ascii="华文仿宋" w:eastAsia="华文仿宋" w:hAnsi="华文仿宋"/>
          <w:sz w:val="28"/>
          <w:szCs w:val="28"/>
        </w:rPr>
      </w:pPr>
      <w:r w:rsidRPr="00452603">
        <w:rPr>
          <w:rFonts w:ascii="华文仿宋" w:eastAsia="华文仿宋" w:hAnsi="华文仿宋" w:hint="eastAsia"/>
          <w:sz w:val="28"/>
          <w:szCs w:val="28"/>
        </w:rPr>
        <w:t>属于“现行工程建设标准中有关规定与本规范不一致的，以本规范的规定为准”约束的范围。</w:t>
      </w:r>
    </w:p>
    <w:p w:rsidR="00DC7284" w:rsidRPr="00452603" w:rsidRDefault="00DC7284" w:rsidP="00DC7284">
      <w:pPr>
        <w:rPr>
          <w:rFonts w:ascii="华文仿宋" w:eastAsia="华文仿宋" w:hAnsi="华文仿宋"/>
          <w:sz w:val="28"/>
          <w:szCs w:val="28"/>
        </w:rPr>
      </w:pP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hint="eastAsia"/>
          <w:sz w:val="28"/>
          <w:szCs w:val="28"/>
        </w:rPr>
        <w:t>可以看到：《GB55031-2022 民用建筑通用规范》最新规定：</w:t>
      </w:r>
      <w:r w:rsidRPr="00452603">
        <w:rPr>
          <w:rFonts w:ascii="华文仿宋" w:eastAsia="华文仿宋" w:hAnsi="华文仿宋"/>
          <w:noProof/>
          <w:sz w:val="28"/>
          <w:szCs w:val="28"/>
        </w:rPr>
        <w:drawing>
          <wp:inline distT="0" distB="0" distL="0" distR="0" wp14:anchorId="1248AE25" wp14:editId="094D84E1">
            <wp:extent cx="5274310" cy="646584"/>
            <wp:effectExtent l="0" t="0" r="2540" b="1270"/>
            <wp:docPr id="73" name="图片 73" descr="https://pic4.zhimg.com/v2-fec15ae0edfae0ff45203dce9337b60f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pic4.zhimg.com/v2-fec15ae0edfae0ff45203dce9337b60f_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46584"/>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lastRenderedPageBreak/>
        <w:drawing>
          <wp:inline distT="0" distB="0" distL="0" distR="0" wp14:anchorId="7DEF717E" wp14:editId="65E1F318">
            <wp:extent cx="5274310" cy="1408872"/>
            <wp:effectExtent l="0" t="0" r="2540" b="1270"/>
            <wp:docPr id="74" name="图片 74" descr="https://pic2.zhimg.com/v2-74a870d45aaa2390a7802cbb8366072d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pic2.zhimg.com/v2-74a870d45aaa2390a7802cbb8366072d_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408872"/>
                    </a:xfrm>
                    <a:prstGeom prst="rect">
                      <a:avLst/>
                    </a:prstGeom>
                    <a:noFill/>
                    <a:ln>
                      <a:noFill/>
                    </a:ln>
                  </pic:spPr>
                </pic:pic>
              </a:graphicData>
            </a:graphic>
          </wp:inline>
        </w:drawing>
      </w:r>
      <w:r w:rsidRPr="00452603">
        <w:rPr>
          <w:rFonts w:ascii="华文仿宋" w:eastAsia="华文仿宋" w:hAnsi="华文仿宋"/>
          <w:b/>
          <w:bCs/>
          <w:color w:val="121212"/>
          <w:sz w:val="28"/>
          <w:szCs w:val="28"/>
        </w:rPr>
        <w:t>《GBT50353-2013建筑工程建筑面积计算规范》</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3.0.27 下列项目不应计算建筑面积： 1 与建筑物内不相连通的建筑部件； 2 骑楼、过街楼底层的开放公共空间和建筑物通道； 3 舞台及后台悬挂幕布和布景的天桥、挑台等； 4 露台、露天游泳池、花架、屋顶的水箱及装饰性结构构件； 5 建筑物内的操作平台、上料平台、安装箱和罐体的平台； 6 勒脚、附墙柱、垛、台阶、墙面抹灰、装饰面、镶贴块料面层、装饰性幕墙，主体结构外的空调室外机搁板(箱)、构件、配件，挑出宽度在2.10m以下的无柱雨篷和顶盖高度达到或超过两个楼层的无柱雨篷； 7 窗台与室内地面高差在0.45m以下且结构净高在2.10m以下的</w:t>
      </w:r>
      <w:proofErr w:type="gramStart"/>
      <w:r w:rsidRPr="00452603">
        <w:rPr>
          <w:rFonts w:ascii="华文仿宋" w:eastAsia="华文仿宋" w:hAnsi="华文仿宋"/>
          <w:color w:val="121212"/>
          <w:sz w:val="28"/>
          <w:szCs w:val="28"/>
        </w:rPr>
        <w:t>凸</w:t>
      </w:r>
      <w:proofErr w:type="gramEnd"/>
      <w:r w:rsidRPr="00452603">
        <w:rPr>
          <w:rFonts w:ascii="华文仿宋" w:eastAsia="华文仿宋" w:hAnsi="华文仿宋"/>
          <w:color w:val="121212"/>
          <w:sz w:val="28"/>
          <w:szCs w:val="28"/>
        </w:rPr>
        <w:t>(飘)窗，窗台与室内地面高差在0.45m及以上的</w:t>
      </w:r>
      <w:proofErr w:type="gramStart"/>
      <w:r w:rsidRPr="00452603">
        <w:rPr>
          <w:rFonts w:ascii="华文仿宋" w:eastAsia="华文仿宋" w:hAnsi="华文仿宋"/>
          <w:color w:val="121212"/>
          <w:sz w:val="28"/>
          <w:szCs w:val="28"/>
        </w:rPr>
        <w:t>凸</w:t>
      </w:r>
      <w:proofErr w:type="gramEnd"/>
      <w:r w:rsidRPr="00452603">
        <w:rPr>
          <w:rFonts w:ascii="华文仿宋" w:eastAsia="华文仿宋" w:hAnsi="华文仿宋"/>
          <w:color w:val="121212"/>
          <w:sz w:val="28"/>
          <w:szCs w:val="28"/>
        </w:rPr>
        <w:t>(飘)窗； 8 室外爬梯、室外专用消防钢楼梯； 9 无围护结构的观光电梯； 10 建筑物以外的地下人防通道，独立的烟囱、烟道、地沟、油(水)罐、气柜、水塔、贮油(水)池、贮仓、栈桥等构筑物。</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条文说明</w:t>
      </w:r>
      <w:r w:rsidRPr="00452603">
        <w:rPr>
          <w:rFonts w:ascii="华文仿宋" w:eastAsia="华文仿宋" w:hAnsi="华文仿宋"/>
          <w:color w:val="121212"/>
          <w:sz w:val="28"/>
          <w:szCs w:val="28"/>
        </w:rPr>
        <w:t>3.0.27 本条规定了不计算建筑面积的项目：1 本款指的是依附于建筑物外墙外不与户室开门连通，起装饰作用的敞开式挑台(廊)、</w:t>
      </w:r>
      <w:r w:rsidRPr="00452603">
        <w:rPr>
          <w:rFonts w:ascii="华文仿宋" w:eastAsia="华文仿宋" w:hAnsi="华文仿宋"/>
          <w:color w:val="121212"/>
          <w:sz w:val="28"/>
          <w:szCs w:val="28"/>
        </w:rPr>
        <w:lastRenderedPageBreak/>
        <w:t>平台，以及不与阳台相通的空调室外机搁板(箱)等</w:t>
      </w:r>
      <w:r w:rsidRPr="00452603">
        <w:rPr>
          <w:rFonts w:ascii="华文仿宋" w:eastAsia="华文仿宋" w:hAnsi="华文仿宋"/>
          <w:b/>
          <w:bCs/>
          <w:color w:val="121212"/>
          <w:sz w:val="28"/>
          <w:szCs w:val="28"/>
        </w:rPr>
        <w:t>设备平台部件</w:t>
      </w:r>
      <w:r w:rsidRPr="00452603">
        <w:rPr>
          <w:rFonts w:ascii="华文仿宋" w:eastAsia="华文仿宋" w:hAnsi="华文仿宋"/>
          <w:color w:val="121212"/>
          <w:sz w:val="28"/>
          <w:szCs w:val="28"/>
        </w:rPr>
        <w:t>；2 骑楼见图11，过街楼见图12；</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drawing>
          <wp:inline distT="0" distB="0" distL="0" distR="0" wp14:anchorId="2837D762" wp14:editId="014E8127">
            <wp:extent cx="2532380" cy="2162810"/>
            <wp:effectExtent l="0" t="0" r="1270" b="8890"/>
            <wp:docPr id="75" name="图片 75" descr="https://pic1.zhimg.com/80/v2-32114149d9a92f4e0c5c56b21a496f0c_720w.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pic1.zhimg.com/80/v2-32114149d9a92f4e0c5c56b21a496f0c_720w.web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2380" cy="2162810"/>
                    </a:xfrm>
                    <a:prstGeom prst="rect">
                      <a:avLst/>
                    </a:prstGeom>
                    <a:noFill/>
                    <a:ln>
                      <a:noFill/>
                    </a:ln>
                  </pic:spPr>
                </pic:pic>
              </a:graphicData>
            </a:graphic>
          </wp:inline>
        </w:drawing>
      </w:r>
      <w:r w:rsidRPr="00452603">
        <w:rPr>
          <w:rFonts w:ascii="华文仿宋" w:eastAsia="华文仿宋" w:hAnsi="华文仿宋"/>
          <w:sz w:val="28"/>
          <w:szCs w:val="28"/>
        </w:rPr>
        <w:t xml:space="preserve"> </w:t>
      </w:r>
      <w:r w:rsidRPr="00452603">
        <w:rPr>
          <w:rFonts w:ascii="华文仿宋" w:eastAsia="华文仿宋" w:hAnsi="华文仿宋"/>
          <w:noProof/>
          <w:sz w:val="28"/>
          <w:szCs w:val="28"/>
        </w:rPr>
        <w:drawing>
          <wp:inline distT="0" distB="0" distL="0" distR="0" wp14:anchorId="3BBD71A3" wp14:editId="6DBD4418">
            <wp:extent cx="2532380" cy="2174875"/>
            <wp:effectExtent l="0" t="0" r="1270" b="0"/>
            <wp:docPr id="76" name="图片 76" descr="https://pic3.zhimg.com/80/v2-3612975408623b23f6875544f34bad12_720w.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pic3.zhimg.com/80/v2-3612975408623b23f6875544f34bad12_720w.web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380" cy="2174875"/>
                    </a:xfrm>
                    <a:prstGeom prst="rect">
                      <a:avLst/>
                    </a:prstGeom>
                    <a:noFill/>
                    <a:ln>
                      <a:noFill/>
                    </a:ln>
                  </pic:spPr>
                </pic:pic>
              </a:graphicData>
            </a:graphic>
          </wp:inline>
        </w:drawing>
      </w:r>
      <w:r w:rsidRPr="00452603">
        <w:rPr>
          <w:rFonts w:ascii="华文仿宋" w:eastAsia="华文仿宋" w:hAnsi="华文仿宋"/>
          <w:color w:val="121212"/>
          <w:sz w:val="28"/>
          <w:szCs w:val="28"/>
        </w:rPr>
        <w:t xml:space="preserve"> 3 本款指的是影剧院的舞台及为舞台服务的可供上人维修、悬挂幕布、布置灯光及布景等搭设的天桥和挑台等构件设施；5 建筑物内不构成结构层的操作平台、上料平台(工业厂房、搅拌站</w:t>
      </w:r>
      <w:proofErr w:type="gramStart"/>
      <w:r w:rsidRPr="00452603">
        <w:rPr>
          <w:rFonts w:ascii="华文仿宋" w:eastAsia="华文仿宋" w:hAnsi="华文仿宋"/>
          <w:color w:val="121212"/>
          <w:sz w:val="28"/>
          <w:szCs w:val="28"/>
        </w:rPr>
        <w:t>和料仓等</w:t>
      </w:r>
      <w:proofErr w:type="gramEnd"/>
      <w:r w:rsidRPr="00452603">
        <w:rPr>
          <w:rFonts w:ascii="华文仿宋" w:eastAsia="华文仿宋" w:hAnsi="华文仿宋"/>
          <w:color w:val="121212"/>
          <w:sz w:val="28"/>
          <w:szCs w:val="28"/>
        </w:rPr>
        <w:t xml:space="preserve">建筑中的设备操作控制平台、上料平台等)，其主要作用为室内构筑物或设备服务的独立上人设施，因此不计算建筑面积；6 附墙柱是指非结构性装饰柱；7 </w:t>
      </w:r>
      <w:proofErr w:type="gramStart"/>
      <w:r w:rsidRPr="00452603">
        <w:rPr>
          <w:rFonts w:ascii="华文仿宋" w:eastAsia="华文仿宋" w:hAnsi="华文仿宋"/>
          <w:color w:val="121212"/>
          <w:sz w:val="28"/>
          <w:szCs w:val="28"/>
        </w:rPr>
        <w:t>室外钢</w:t>
      </w:r>
      <w:proofErr w:type="gramEnd"/>
      <w:r w:rsidRPr="00452603">
        <w:rPr>
          <w:rFonts w:ascii="华文仿宋" w:eastAsia="华文仿宋" w:hAnsi="华文仿宋"/>
          <w:color w:val="121212"/>
          <w:sz w:val="28"/>
          <w:szCs w:val="28"/>
        </w:rPr>
        <w:t>楼梯需要区分具体用途，如专用于消防的楼梯，则不计算建筑面积，如果是建筑物唯一通道，</w:t>
      </w:r>
      <w:proofErr w:type="gramStart"/>
      <w:r w:rsidRPr="00452603">
        <w:rPr>
          <w:rFonts w:ascii="华文仿宋" w:eastAsia="华文仿宋" w:hAnsi="华文仿宋"/>
          <w:color w:val="121212"/>
          <w:sz w:val="28"/>
          <w:szCs w:val="28"/>
        </w:rPr>
        <w:t>兼用于</w:t>
      </w:r>
      <w:proofErr w:type="gramEnd"/>
      <w:r w:rsidRPr="00452603">
        <w:rPr>
          <w:rFonts w:ascii="华文仿宋" w:eastAsia="华文仿宋" w:hAnsi="华文仿宋"/>
          <w:color w:val="121212"/>
          <w:sz w:val="28"/>
          <w:szCs w:val="28"/>
        </w:rPr>
        <w:t>消防，则需要按本规范第3．0．20条计算建筑面积。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七、关于结构层高小于2.20m的建筑空间</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其中：对应《GB55031-2022 民用建筑通用规范》最新规定：</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noProof/>
          <w:sz w:val="28"/>
          <w:szCs w:val="28"/>
        </w:rPr>
        <w:lastRenderedPageBreak/>
        <w:drawing>
          <wp:inline distT="0" distB="0" distL="0" distR="0" wp14:anchorId="10EA35C5" wp14:editId="041D935F">
            <wp:extent cx="5274310" cy="646584"/>
            <wp:effectExtent l="0" t="0" r="2540" b="1270"/>
            <wp:docPr id="77" name="图片 77" descr="https://pic4.zhimg.com/v2-fec15ae0edfae0ff45203dce9337b60f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pic4.zhimg.com/v2-fec15ae0edfae0ff45203dce9337b60f_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46584"/>
                    </a:xfrm>
                    <a:prstGeom prst="rect">
                      <a:avLst/>
                    </a:prstGeom>
                    <a:noFill/>
                    <a:ln>
                      <a:noFill/>
                    </a:ln>
                  </pic:spPr>
                </pic:pic>
              </a:graphicData>
            </a:graphic>
          </wp:inline>
        </w:drawing>
      </w:r>
      <w:r w:rsidRPr="00452603">
        <w:rPr>
          <w:rFonts w:ascii="华文仿宋" w:eastAsia="华文仿宋" w:hAnsi="华文仿宋"/>
          <w:b/>
          <w:bCs/>
          <w:color w:val="121212"/>
          <w:sz w:val="28"/>
          <w:szCs w:val="28"/>
        </w:rPr>
        <w:t xml:space="preserve"> 3.1.6第一款：结构层高小于2.20m的建筑空间，列为不应计算建筑面积的范围。</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属于“现行工程建设标准中有关规定与本规范不一致的，以本规范的规定为准”约束的范围。</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b/>
          <w:bCs/>
          <w:color w:val="121212"/>
          <w:sz w:val="28"/>
          <w:szCs w:val="28"/>
        </w:rPr>
        <w:t>对应条文《GBT50353-2013建筑工程建筑面积计算规范》3.01、3.02、3.03、3.04、3.05，均有</w:t>
      </w:r>
      <w:r w:rsidRPr="00452603">
        <w:rPr>
          <w:rFonts w:ascii="华文仿宋" w:eastAsia="华文仿宋" w:hAnsi="华文仿宋"/>
          <w:color w:val="121212"/>
          <w:sz w:val="28"/>
          <w:szCs w:val="28"/>
        </w:rPr>
        <w:t>有关结构层高以2.20米为分界的规定，且普遍明确：“结构层高在2．20m以下的，应计算1/2面积。”应视为作废。</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3.0.1 建筑物的建筑面积应按自然层外墙结构外围水平面积之和计算。结构层高在2．20m及以上的，应计算全面积；结构层高在2．20m以下的，应计算1/2面积。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3.0.2 建筑物内设有局部楼层时，对于局部楼层的二层及以上楼层，有围护结构的应按其围护结构外围水平面积计算，无围护结构的应按其结构底板水平面积计算。结构层高在2．20m及以上的，应计算全面积；结构层高在2．20m以下的，应计算1/2 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lastRenderedPageBreak/>
        <w:t>3.0.3 形成建筑空间的坡屋顶，结构净高在2．10m及以上的部位应计算全面积；结构净高在1．20m及以上至2.10m以下的部位应计算1/2面积；结构净高在1．20m以下的部位不应计算建筑面积。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3.0.4 场馆看台下的建筑空间，结构净高在2．10m及以上的部位应计算全面积；结构净高在1．20m及以上至2.10m以下的部位应计算1/2面积；结构净高在1．20m以下的部位不应计算建筑面积。室内单独设置的有围护设施的悬挑看台，应按看台结构底板水平投影面积计算建筑面积。有顶盖无围护结构的场馆看台应按其顶盖水平投影面积的1/2计算面积。</w:t>
      </w:r>
    </w:p>
    <w:p w:rsidR="00DC7284" w:rsidRPr="00452603" w:rsidRDefault="00DC7284" w:rsidP="00DC7284">
      <w:pPr>
        <w:pStyle w:val="a5"/>
        <w:shd w:val="clear" w:color="auto" w:fill="FFFFFF"/>
        <w:spacing w:before="336" w:beforeAutospacing="0" w:after="336" w:afterAutospacing="0"/>
        <w:rPr>
          <w:rFonts w:ascii="华文仿宋" w:eastAsia="华文仿宋" w:hAnsi="华文仿宋"/>
          <w:color w:val="121212"/>
          <w:sz w:val="28"/>
          <w:szCs w:val="28"/>
        </w:rPr>
      </w:pPr>
      <w:r w:rsidRPr="00452603">
        <w:rPr>
          <w:rFonts w:ascii="华文仿宋" w:eastAsia="华文仿宋" w:hAnsi="华文仿宋"/>
          <w:color w:val="121212"/>
          <w:sz w:val="28"/>
          <w:szCs w:val="28"/>
        </w:rPr>
        <w:t>3.0.5 地下室、半地下室应按其结构外围水平面积计算。结构层高在2．20m及以上的，应计算全面积；结构层高在2.20m以下的，应计算1/2面积。</w:t>
      </w:r>
    </w:p>
    <w:p w:rsidR="00DC7284" w:rsidRPr="00452603" w:rsidRDefault="00DC7284" w:rsidP="00DC7284">
      <w:pPr>
        <w:rPr>
          <w:rFonts w:ascii="华文仿宋" w:eastAsia="华文仿宋" w:hAnsi="华文仿宋"/>
          <w:sz w:val="28"/>
          <w:szCs w:val="28"/>
        </w:rPr>
      </w:pPr>
    </w:p>
    <w:sectPr w:rsidR="00DC7284" w:rsidRPr="004526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B42" w:rsidRDefault="00C32B42" w:rsidP="000A3645">
      <w:r>
        <w:separator/>
      </w:r>
    </w:p>
  </w:endnote>
  <w:endnote w:type="continuationSeparator" w:id="0">
    <w:p w:rsidR="00C32B42" w:rsidRDefault="00C32B42" w:rsidP="000A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B42" w:rsidRDefault="00C32B42" w:rsidP="000A3645">
      <w:r>
        <w:separator/>
      </w:r>
    </w:p>
  </w:footnote>
  <w:footnote w:type="continuationSeparator" w:id="0">
    <w:p w:rsidR="00C32B42" w:rsidRDefault="00C32B42" w:rsidP="000A36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284"/>
    <w:rsid w:val="000A3645"/>
    <w:rsid w:val="00452603"/>
    <w:rsid w:val="00827C92"/>
    <w:rsid w:val="00C32B42"/>
    <w:rsid w:val="00D40FEF"/>
    <w:rsid w:val="00DC7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C7284"/>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DC72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C7284"/>
    <w:rPr>
      <w:rFonts w:ascii="宋体" w:eastAsia="宋体" w:hAnsi="宋体" w:cs="宋体"/>
      <w:b/>
      <w:bCs/>
      <w:kern w:val="36"/>
      <w:sz w:val="48"/>
      <w:szCs w:val="48"/>
    </w:rPr>
  </w:style>
  <w:style w:type="paragraph" w:styleId="a3">
    <w:name w:val="Balloon Text"/>
    <w:basedOn w:val="a"/>
    <w:link w:val="Char"/>
    <w:uiPriority w:val="99"/>
    <w:semiHidden/>
    <w:unhideWhenUsed/>
    <w:rsid w:val="00DC7284"/>
    <w:rPr>
      <w:sz w:val="18"/>
      <w:szCs w:val="18"/>
    </w:rPr>
  </w:style>
  <w:style w:type="character" w:customStyle="1" w:styleId="Char">
    <w:name w:val="批注框文本 Char"/>
    <w:basedOn w:val="a0"/>
    <w:link w:val="a3"/>
    <w:uiPriority w:val="99"/>
    <w:semiHidden/>
    <w:rsid w:val="00DC7284"/>
    <w:rPr>
      <w:sz w:val="18"/>
      <w:szCs w:val="18"/>
    </w:rPr>
  </w:style>
  <w:style w:type="character" w:styleId="a4">
    <w:name w:val="Hyperlink"/>
    <w:basedOn w:val="a0"/>
    <w:uiPriority w:val="99"/>
    <w:semiHidden/>
    <w:unhideWhenUsed/>
    <w:rsid w:val="00DC7284"/>
    <w:rPr>
      <w:color w:val="0000FF"/>
      <w:u w:val="single"/>
    </w:rPr>
  </w:style>
  <w:style w:type="character" w:customStyle="1" w:styleId="3Char">
    <w:name w:val="标题 3 Char"/>
    <w:basedOn w:val="a0"/>
    <w:link w:val="3"/>
    <w:uiPriority w:val="9"/>
    <w:semiHidden/>
    <w:rsid w:val="00DC7284"/>
    <w:rPr>
      <w:b/>
      <w:bCs/>
      <w:sz w:val="32"/>
      <w:szCs w:val="32"/>
    </w:rPr>
  </w:style>
  <w:style w:type="paragraph" w:styleId="a5">
    <w:name w:val="Normal (Web)"/>
    <w:basedOn w:val="a"/>
    <w:uiPriority w:val="99"/>
    <w:semiHidden/>
    <w:unhideWhenUsed/>
    <w:rsid w:val="00DC7284"/>
    <w:pPr>
      <w:widowControl/>
      <w:spacing w:before="100" w:beforeAutospacing="1" w:after="100" w:afterAutospacing="1"/>
      <w:jc w:val="left"/>
    </w:pPr>
    <w:rPr>
      <w:rFonts w:ascii="宋体" w:eastAsia="宋体" w:hAnsi="宋体" w:cs="宋体"/>
      <w:kern w:val="0"/>
      <w:sz w:val="24"/>
      <w:szCs w:val="24"/>
    </w:rPr>
  </w:style>
  <w:style w:type="paragraph" w:customStyle="1" w:styleId="ztext-empty-paragraph">
    <w:name w:val="ztext-empty-paragraph"/>
    <w:basedOn w:val="a"/>
    <w:rsid w:val="00DC7284"/>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0A364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A3645"/>
    <w:rPr>
      <w:sz w:val="18"/>
      <w:szCs w:val="18"/>
    </w:rPr>
  </w:style>
  <w:style w:type="paragraph" w:styleId="a7">
    <w:name w:val="footer"/>
    <w:basedOn w:val="a"/>
    <w:link w:val="Char1"/>
    <w:uiPriority w:val="99"/>
    <w:unhideWhenUsed/>
    <w:rsid w:val="000A3645"/>
    <w:pPr>
      <w:tabs>
        <w:tab w:val="center" w:pos="4153"/>
        <w:tab w:val="right" w:pos="8306"/>
      </w:tabs>
      <w:snapToGrid w:val="0"/>
      <w:jc w:val="left"/>
    </w:pPr>
    <w:rPr>
      <w:sz w:val="18"/>
      <w:szCs w:val="18"/>
    </w:rPr>
  </w:style>
  <w:style w:type="character" w:customStyle="1" w:styleId="Char1">
    <w:name w:val="页脚 Char"/>
    <w:basedOn w:val="a0"/>
    <w:link w:val="a7"/>
    <w:uiPriority w:val="99"/>
    <w:rsid w:val="000A364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DC7284"/>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DC728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C7284"/>
    <w:rPr>
      <w:rFonts w:ascii="宋体" w:eastAsia="宋体" w:hAnsi="宋体" w:cs="宋体"/>
      <w:b/>
      <w:bCs/>
      <w:kern w:val="36"/>
      <w:sz w:val="48"/>
      <w:szCs w:val="48"/>
    </w:rPr>
  </w:style>
  <w:style w:type="paragraph" w:styleId="a3">
    <w:name w:val="Balloon Text"/>
    <w:basedOn w:val="a"/>
    <w:link w:val="Char"/>
    <w:uiPriority w:val="99"/>
    <w:semiHidden/>
    <w:unhideWhenUsed/>
    <w:rsid w:val="00DC7284"/>
    <w:rPr>
      <w:sz w:val="18"/>
      <w:szCs w:val="18"/>
    </w:rPr>
  </w:style>
  <w:style w:type="character" w:customStyle="1" w:styleId="Char">
    <w:name w:val="批注框文本 Char"/>
    <w:basedOn w:val="a0"/>
    <w:link w:val="a3"/>
    <w:uiPriority w:val="99"/>
    <w:semiHidden/>
    <w:rsid w:val="00DC7284"/>
    <w:rPr>
      <w:sz w:val="18"/>
      <w:szCs w:val="18"/>
    </w:rPr>
  </w:style>
  <w:style w:type="character" w:styleId="a4">
    <w:name w:val="Hyperlink"/>
    <w:basedOn w:val="a0"/>
    <w:uiPriority w:val="99"/>
    <w:semiHidden/>
    <w:unhideWhenUsed/>
    <w:rsid w:val="00DC7284"/>
    <w:rPr>
      <w:color w:val="0000FF"/>
      <w:u w:val="single"/>
    </w:rPr>
  </w:style>
  <w:style w:type="character" w:customStyle="1" w:styleId="3Char">
    <w:name w:val="标题 3 Char"/>
    <w:basedOn w:val="a0"/>
    <w:link w:val="3"/>
    <w:uiPriority w:val="9"/>
    <w:semiHidden/>
    <w:rsid w:val="00DC7284"/>
    <w:rPr>
      <w:b/>
      <w:bCs/>
      <w:sz w:val="32"/>
      <w:szCs w:val="32"/>
    </w:rPr>
  </w:style>
  <w:style w:type="paragraph" w:styleId="a5">
    <w:name w:val="Normal (Web)"/>
    <w:basedOn w:val="a"/>
    <w:uiPriority w:val="99"/>
    <w:semiHidden/>
    <w:unhideWhenUsed/>
    <w:rsid w:val="00DC7284"/>
    <w:pPr>
      <w:widowControl/>
      <w:spacing w:before="100" w:beforeAutospacing="1" w:after="100" w:afterAutospacing="1"/>
      <w:jc w:val="left"/>
    </w:pPr>
    <w:rPr>
      <w:rFonts w:ascii="宋体" w:eastAsia="宋体" w:hAnsi="宋体" w:cs="宋体"/>
      <w:kern w:val="0"/>
      <w:sz w:val="24"/>
      <w:szCs w:val="24"/>
    </w:rPr>
  </w:style>
  <w:style w:type="paragraph" w:customStyle="1" w:styleId="ztext-empty-paragraph">
    <w:name w:val="ztext-empty-paragraph"/>
    <w:basedOn w:val="a"/>
    <w:rsid w:val="00DC7284"/>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0A364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A3645"/>
    <w:rPr>
      <w:sz w:val="18"/>
      <w:szCs w:val="18"/>
    </w:rPr>
  </w:style>
  <w:style w:type="paragraph" w:styleId="a7">
    <w:name w:val="footer"/>
    <w:basedOn w:val="a"/>
    <w:link w:val="Char1"/>
    <w:uiPriority w:val="99"/>
    <w:unhideWhenUsed/>
    <w:rsid w:val="000A3645"/>
    <w:pPr>
      <w:tabs>
        <w:tab w:val="center" w:pos="4153"/>
        <w:tab w:val="right" w:pos="8306"/>
      </w:tabs>
      <w:snapToGrid w:val="0"/>
      <w:jc w:val="left"/>
    </w:pPr>
    <w:rPr>
      <w:sz w:val="18"/>
      <w:szCs w:val="18"/>
    </w:rPr>
  </w:style>
  <w:style w:type="character" w:customStyle="1" w:styleId="Char1">
    <w:name w:val="页脚 Char"/>
    <w:basedOn w:val="a0"/>
    <w:link w:val="a7"/>
    <w:uiPriority w:val="99"/>
    <w:rsid w:val="000A36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271">
      <w:bodyDiv w:val="1"/>
      <w:marLeft w:val="0"/>
      <w:marRight w:val="0"/>
      <w:marTop w:val="0"/>
      <w:marBottom w:val="0"/>
      <w:divBdr>
        <w:top w:val="none" w:sz="0" w:space="0" w:color="auto"/>
        <w:left w:val="none" w:sz="0" w:space="0" w:color="auto"/>
        <w:bottom w:val="none" w:sz="0" w:space="0" w:color="auto"/>
        <w:right w:val="none" w:sz="0" w:space="0" w:color="auto"/>
      </w:divBdr>
    </w:div>
    <w:div w:id="44062661">
      <w:bodyDiv w:val="1"/>
      <w:marLeft w:val="0"/>
      <w:marRight w:val="0"/>
      <w:marTop w:val="0"/>
      <w:marBottom w:val="0"/>
      <w:divBdr>
        <w:top w:val="none" w:sz="0" w:space="0" w:color="auto"/>
        <w:left w:val="none" w:sz="0" w:space="0" w:color="auto"/>
        <w:bottom w:val="none" w:sz="0" w:space="0" w:color="auto"/>
        <w:right w:val="none" w:sz="0" w:space="0" w:color="auto"/>
      </w:divBdr>
    </w:div>
    <w:div w:id="115293551">
      <w:bodyDiv w:val="1"/>
      <w:marLeft w:val="0"/>
      <w:marRight w:val="0"/>
      <w:marTop w:val="0"/>
      <w:marBottom w:val="0"/>
      <w:divBdr>
        <w:top w:val="none" w:sz="0" w:space="0" w:color="auto"/>
        <w:left w:val="none" w:sz="0" w:space="0" w:color="auto"/>
        <w:bottom w:val="none" w:sz="0" w:space="0" w:color="auto"/>
        <w:right w:val="none" w:sz="0" w:space="0" w:color="auto"/>
      </w:divBdr>
    </w:div>
    <w:div w:id="179901413">
      <w:bodyDiv w:val="1"/>
      <w:marLeft w:val="0"/>
      <w:marRight w:val="0"/>
      <w:marTop w:val="0"/>
      <w:marBottom w:val="0"/>
      <w:divBdr>
        <w:top w:val="none" w:sz="0" w:space="0" w:color="auto"/>
        <w:left w:val="none" w:sz="0" w:space="0" w:color="auto"/>
        <w:bottom w:val="none" w:sz="0" w:space="0" w:color="auto"/>
        <w:right w:val="none" w:sz="0" w:space="0" w:color="auto"/>
      </w:divBdr>
    </w:div>
    <w:div w:id="187108383">
      <w:bodyDiv w:val="1"/>
      <w:marLeft w:val="0"/>
      <w:marRight w:val="0"/>
      <w:marTop w:val="0"/>
      <w:marBottom w:val="0"/>
      <w:divBdr>
        <w:top w:val="none" w:sz="0" w:space="0" w:color="auto"/>
        <w:left w:val="none" w:sz="0" w:space="0" w:color="auto"/>
        <w:bottom w:val="none" w:sz="0" w:space="0" w:color="auto"/>
        <w:right w:val="none" w:sz="0" w:space="0" w:color="auto"/>
      </w:divBdr>
    </w:div>
    <w:div w:id="215901284">
      <w:bodyDiv w:val="1"/>
      <w:marLeft w:val="0"/>
      <w:marRight w:val="0"/>
      <w:marTop w:val="0"/>
      <w:marBottom w:val="0"/>
      <w:divBdr>
        <w:top w:val="none" w:sz="0" w:space="0" w:color="auto"/>
        <w:left w:val="none" w:sz="0" w:space="0" w:color="auto"/>
        <w:bottom w:val="none" w:sz="0" w:space="0" w:color="auto"/>
        <w:right w:val="none" w:sz="0" w:space="0" w:color="auto"/>
      </w:divBdr>
      <w:divsChild>
        <w:div w:id="660813092">
          <w:marLeft w:val="0"/>
          <w:marRight w:val="0"/>
          <w:marTop w:val="0"/>
          <w:marBottom w:val="0"/>
          <w:divBdr>
            <w:top w:val="none" w:sz="0" w:space="0" w:color="auto"/>
            <w:left w:val="none" w:sz="0" w:space="0" w:color="auto"/>
            <w:bottom w:val="none" w:sz="0" w:space="0" w:color="auto"/>
            <w:right w:val="none" w:sz="0" w:space="0" w:color="auto"/>
          </w:divBdr>
          <w:divsChild>
            <w:div w:id="2066755775">
              <w:marLeft w:val="0"/>
              <w:marRight w:val="0"/>
              <w:marTop w:val="0"/>
              <w:marBottom w:val="0"/>
              <w:divBdr>
                <w:top w:val="none" w:sz="0" w:space="0" w:color="auto"/>
                <w:left w:val="none" w:sz="0" w:space="0" w:color="auto"/>
                <w:bottom w:val="none" w:sz="0" w:space="0" w:color="auto"/>
                <w:right w:val="none" w:sz="0" w:space="0" w:color="auto"/>
              </w:divBdr>
              <w:divsChild>
                <w:div w:id="1539705389">
                  <w:marLeft w:val="0"/>
                  <w:marRight w:val="0"/>
                  <w:marTop w:val="0"/>
                  <w:marBottom w:val="0"/>
                  <w:divBdr>
                    <w:top w:val="none" w:sz="0" w:space="0" w:color="auto"/>
                    <w:left w:val="none" w:sz="0" w:space="0" w:color="auto"/>
                    <w:bottom w:val="none" w:sz="0" w:space="0" w:color="auto"/>
                    <w:right w:val="none" w:sz="0" w:space="0" w:color="auto"/>
                  </w:divBdr>
                  <w:divsChild>
                    <w:div w:id="1696152536">
                      <w:marLeft w:val="0"/>
                      <w:marRight w:val="0"/>
                      <w:marTop w:val="0"/>
                      <w:marBottom w:val="0"/>
                      <w:divBdr>
                        <w:top w:val="none" w:sz="0" w:space="0" w:color="auto"/>
                        <w:left w:val="none" w:sz="0" w:space="0" w:color="auto"/>
                        <w:bottom w:val="none" w:sz="0" w:space="0" w:color="auto"/>
                        <w:right w:val="none" w:sz="0" w:space="0" w:color="auto"/>
                      </w:divBdr>
                    </w:div>
                    <w:div w:id="50202570">
                      <w:marLeft w:val="210"/>
                      <w:marRight w:val="0"/>
                      <w:marTop w:val="0"/>
                      <w:marBottom w:val="0"/>
                      <w:divBdr>
                        <w:top w:val="none" w:sz="0" w:space="0" w:color="auto"/>
                        <w:left w:val="none" w:sz="0" w:space="0" w:color="auto"/>
                        <w:bottom w:val="none" w:sz="0" w:space="0" w:color="auto"/>
                        <w:right w:val="none" w:sz="0" w:space="0" w:color="auto"/>
                      </w:divBdr>
                      <w:divsChild>
                        <w:div w:id="1043363360">
                          <w:marLeft w:val="0"/>
                          <w:marRight w:val="0"/>
                          <w:marTop w:val="0"/>
                          <w:marBottom w:val="0"/>
                          <w:divBdr>
                            <w:top w:val="none" w:sz="0" w:space="0" w:color="auto"/>
                            <w:left w:val="none" w:sz="0" w:space="0" w:color="auto"/>
                            <w:bottom w:val="none" w:sz="0" w:space="0" w:color="auto"/>
                            <w:right w:val="none" w:sz="0" w:space="0" w:color="auto"/>
                          </w:divBdr>
                          <w:divsChild>
                            <w:div w:id="1962613547">
                              <w:marLeft w:val="0"/>
                              <w:marRight w:val="0"/>
                              <w:marTop w:val="0"/>
                              <w:marBottom w:val="0"/>
                              <w:divBdr>
                                <w:top w:val="none" w:sz="0" w:space="0" w:color="auto"/>
                                <w:left w:val="none" w:sz="0" w:space="0" w:color="auto"/>
                                <w:bottom w:val="none" w:sz="0" w:space="0" w:color="auto"/>
                                <w:right w:val="none" w:sz="0" w:space="0" w:color="auto"/>
                              </w:divBdr>
                            </w:div>
                          </w:divsChild>
                        </w:div>
                        <w:div w:id="1000277910">
                          <w:marLeft w:val="0"/>
                          <w:marRight w:val="0"/>
                          <w:marTop w:val="0"/>
                          <w:marBottom w:val="0"/>
                          <w:divBdr>
                            <w:top w:val="none" w:sz="0" w:space="0" w:color="auto"/>
                            <w:left w:val="none" w:sz="0" w:space="0" w:color="auto"/>
                            <w:bottom w:val="none" w:sz="0" w:space="0" w:color="auto"/>
                            <w:right w:val="none" w:sz="0" w:space="0" w:color="auto"/>
                          </w:divBdr>
                          <w:divsChild>
                            <w:div w:id="348801845">
                              <w:marLeft w:val="0"/>
                              <w:marRight w:val="0"/>
                              <w:marTop w:val="30"/>
                              <w:marBottom w:val="0"/>
                              <w:divBdr>
                                <w:top w:val="none" w:sz="0" w:space="0" w:color="auto"/>
                                <w:left w:val="none" w:sz="0" w:space="0" w:color="auto"/>
                                <w:bottom w:val="none" w:sz="0" w:space="0" w:color="auto"/>
                                <w:right w:val="none" w:sz="0" w:space="0" w:color="auto"/>
                              </w:divBdr>
                              <w:divsChild>
                                <w:div w:id="1681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92508">
          <w:marLeft w:val="0"/>
          <w:marRight w:val="0"/>
          <w:marTop w:val="0"/>
          <w:marBottom w:val="0"/>
          <w:divBdr>
            <w:top w:val="none" w:sz="0" w:space="0" w:color="auto"/>
            <w:left w:val="none" w:sz="0" w:space="0" w:color="auto"/>
            <w:bottom w:val="none" w:sz="0" w:space="0" w:color="auto"/>
            <w:right w:val="none" w:sz="0" w:space="0" w:color="auto"/>
          </w:divBdr>
        </w:div>
        <w:div w:id="1548563070">
          <w:marLeft w:val="0"/>
          <w:marRight w:val="0"/>
          <w:marTop w:val="0"/>
          <w:marBottom w:val="0"/>
          <w:divBdr>
            <w:top w:val="none" w:sz="0" w:space="0" w:color="auto"/>
            <w:left w:val="none" w:sz="0" w:space="0" w:color="auto"/>
            <w:bottom w:val="none" w:sz="0" w:space="0" w:color="auto"/>
            <w:right w:val="none" w:sz="0" w:space="0" w:color="auto"/>
          </w:divBdr>
          <w:divsChild>
            <w:div w:id="1636908592">
              <w:marLeft w:val="0"/>
              <w:marRight w:val="0"/>
              <w:marTop w:val="240"/>
              <w:marBottom w:val="0"/>
              <w:divBdr>
                <w:top w:val="none" w:sz="0" w:space="0" w:color="auto"/>
                <w:left w:val="none" w:sz="0" w:space="0" w:color="auto"/>
                <w:bottom w:val="none" w:sz="0" w:space="0" w:color="auto"/>
                <w:right w:val="none" w:sz="0" w:space="0" w:color="auto"/>
              </w:divBdr>
              <w:divsChild>
                <w:div w:id="2066487137">
                  <w:marLeft w:val="0"/>
                  <w:marRight w:val="0"/>
                  <w:marTop w:val="0"/>
                  <w:marBottom w:val="0"/>
                  <w:divBdr>
                    <w:top w:val="none" w:sz="0" w:space="0" w:color="auto"/>
                    <w:left w:val="none" w:sz="0" w:space="0" w:color="auto"/>
                    <w:bottom w:val="none" w:sz="0" w:space="0" w:color="auto"/>
                    <w:right w:val="none" w:sz="0" w:space="0" w:color="auto"/>
                  </w:divBdr>
                  <w:divsChild>
                    <w:div w:id="521431481">
                      <w:marLeft w:val="0"/>
                      <w:marRight w:val="0"/>
                      <w:marTop w:val="0"/>
                      <w:marBottom w:val="0"/>
                      <w:divBdr>
                        <w:top w:val="none" w:sz="0" w:space="0" w:color="auto"/>
                        <w:left w:val="none" w:sz="0" w:space="0" w:color="auto"/>
                        <w:bottom w:val="none" w:sz="0" w:space="0" w:color="auto"/>
                        <w:right w:val="none" w:sz="0" w:space="0" w:color="auto"/>
                      </w:divBdr>
                      <w:divsChild>
                        <w:div w:id="360283772">
                          <w:marLeft w:val="0"/>
                          <w:marRight w:val="0"/>
                          <w:marTop w:val="0"/>
                          <w:marBottom w:val="0"/>
                          <w:divBdr>
                            <w:top w:val="none" w:sz="0" w:space="0" w:color="auto"/>
                            <w:left w:val="none" w:sz="0" w:space="0" w:color="auto"/>
                            <w:bottom w:val="none" w:sz="0" w:space="0" w:color="auto"/>
                            <w:right w:val="none" w:sz="0" w:space="0" w:color="auto"/>
                          </w:divBdr>
                        </w:div>
                        <w:div w:id="156583441">
                          <w:marLeft w:val="0"/>
                          <w:marRight w:val="0"/>
                          <w:marTop w:val="0"/>
                          <w:marBottom w:val="0"/>
                          <w:divBdr>
                            <w:top w:val="none" w:sz="0" w:space="0" w:color="auto"/>
                            <w:left w:val="none" w:sz="0" w:space="0" w:color="auto"/>
                            <w:bottom w:val="none" w:sz="0" w:space="0" w:color="auto"/>
                            <w:right w:val="none" w:sz="0" w:space="0" w:color="auto"/>
                          </w:divBdr>
                        </w:div>
                        <w:div w:id="250699632">
                          <w:marLeft w:val="0"/>
                          <w:marRight w:val="0"/>
                          <w:marTop w:val="0"/>
                          <w:marBottom w:val="0"/>
                          <w:divBdr>
                            <w:top w:val="none" w:sz="0" w:space="0" w:color="auto"/>
                            <w:left w:val="none" w:sz="0" w:space="0" w:color="auto"/>
                            <w:bottom w:val="none" w:sz="0" w:space="0" w:color="auto"/>
                            <w:right w:val="none" w:sz="0" w:space="0" w:color="auto"/>
                          </w:divBdr>
                        </w:div>
                        <w:div w:id="2114127126">
                          <w:marLeft w:val="0"/>
                          <w:marRight w:val="0"/>
                          <w:marTop w:val="0"/>
                          <w:marBottom w:val="0"/>
                          <w:divBdr>
                            <w:top w:val="none" w:sz="0" w:space="0" w:color="auto"/>
                            <w:left w:val="none" w:sz="0" w:space="0" w:color="auto"/>
                            <w:bottom w:val="none" w:sz="0" w:space="0" w:color="auto"/>
                            <w:right w:val="none" w:sz="0" w:space="0" w:color="auto"/>
                          </w:divBdr>
                        </w:div>
                        <w:div w:id="493450964">
                          <w:marLeft w:val="0"/>
                          <w:marRight w:val="0"/>
                          <w:marTop w:val="0"/>
                          <w:marBottom w:val="0"/>
                          <w:divBdr>
                            <w:top w:val="none" w:sz="0" w:space="0" w:color="auto"/>
                            <w:left w:val="none" w:sz="0" w:space="0" w:color="auto"/>
                            <w:bottom w:val="none" w:sz="0" w:space="0" w:color="auto"/>
                            <w:right w:val="none" w:sz="0" w:space="0" w:color="auto"/>
                          </w:divBdr>
                        </w:div>
                        <w:div w:id="1318416007">
                          <w:marLeft w:val="0"/>
                          <w:marRight w:val="0"/>
                          <w:marTop w:val="0"/>
                          <w:marBottom w:val="0"/>
                          <w:divBdr>
                            <w:top w:val="none" w:sz="0" w:space="0" w:color="auto"/>
                            <w:left w:val="none" w:sz="0" w:space="0" w:color="auto"/>
                            <w:bottom w:val="none" w:sz="0" w:space="0" w:color="auto"/>
                            <w:right w:val="none" w:sz="0" w:space="0" w:color="auto"/>
                          </w:divBdr>
                        </w:div>
                        <w:div w:id="1273171199">
                          <w:marLeft w:val="0"/>
                          <w:marRight w:val="0"/>
                          <w:marTop w:val="0"/>
                          <w:marBottom w:val="0"/>
                          <w:divBdr>
                            <w:top w:val="none" w:sz="0" w:space="0" w:color="auto"/>
                            <w:left w:val="none" w:sz="0" w:space="0" w:color="auto"/>
                            <w:bottom w:val="none" w:sz="0" w:space="0" w:color="auto"/>
                            <w:right w:val="none" w:sz="0" w:space="0" w:color="auto"/>
                          </w:divBdr>
                        </w:div>
                        <w:div w:id="685643307">
                          <w:marLeft w:val="0"/>
                          <w:marRight w:val="0"/>
                          <w:marTop w:val="0"/>
                          <w:marBottom w:val="0"/>
                          <w:divBdr>
                            <w:top w:val="none" w:sz="0" w:space="0" w:color="auto"/>
                            <w:left w:val="none" w:sz="0" w:space="0" w:color="auto"/>
                            <w:bottom w:val="none" w:sz="0" w:space="0" w:color="auto"/>
                            <w:right w:val="none" w:sz="0" w:space="0" w:color="auto"/>
                          </w:divBdr>
                        </w:div>
                        <w:div w:id="195392947">
                          <w:marLeft w:val="0"/>
                          <w:marRight w:val="0"/>
                          <w:marTop w:val="0"/>
                          <w:marBottom w:val="0"/>
                          <w:divBdr>
                            <w:top w:val="none" w:sz="0" w:space="0" w:color="auto"/>
                            <w:left w:val="none" w:sz="0" w:space="0" w:color="auto"/>
                            <w:bottom w:val="none" w:sz="0" w:space="0" w:color="auto"/>
                            <w:right w:val="none" w:sz="0" w:space="0" w:color="auto"/>
                          </w:divBdr>
                        </w:div>
                        <w:div w:id="165631573">
                          <w:marLeft w:val="0"/>
                          <w:marRight w:val="0"/>
                          <w:marTop w:val="0"/>
                          <w:marBottom w:val="0"/>
                          <w:divBdr>
                            <w:top w:val="none" w:sz="0" w:space="0" w:color="auto"/>
                            <w:left w:val="none" w:sz="0" w:space="0" w:color="auto"/>
                            <w:bottom w:val="none" w:sz="0" w:space="0" w:color="auto"/>
                            <w:right w:val="none" w:sz="0" w:space="0" w:color="auto"/>
                          </w:divBdr>
                        </w:div>
                        <w:div w:id="772633834">
                          <w:marLeft w:val="0"/>
                          <w:marRight w:val="0"/>
                          <w:marTop w:val="0"/>
                          <w:marBottom w:val="0"/>
                          <w:divBdr>
                            <w:top w:val="none" w:sz="0" w:space="0" w:color="auto"/>
                            <w:left w:val="none" w:sz="0" w:space="0" w:color="auto"/>
                            <w:bottom w:val="none" w:sz="0" w:space="0" w:color="auto"/>
                            <w:right w:val="none" w:sz="0" w:space="0" w:color="auto"/>
                          </w:divBdr>
                        </w:div>
                        <w:div w:id="1507788592">
                          <w:marLeft w:val="0"/>
                          <w:marRight w:val="0"/>
                          <w:marTop w:val="0"/>
                          <w:marBottom w:val="0"/>
                          <w:divBdr>
                            <w:top w:val="none" w:sz="0" w:space="0" w:color="auto"/>
                            <w:left w:val="none" w:sz="0" w:space="0" w:color="auto"/>
                            <w:bottom w:val="none" w:sz="0" w:space="0" w:color="auto"/>
                            <w:right w:val="none" w:sz="0" w:space="0" w:color="auto"/>
                          </w:divBdr>
                        </w:div>
                        <w:div w:id="1179737612">
                          <w:marLeft w:val="0"/>
                          <w:marRight w:val="0"/>
                          <w:marTop w:val="0"/>
                          <w:marBottom w:val="0"/>
                          <w:divBdr>
                            <w:top w:val="none" w:sz="0" w:space="0" w:color="auto"/>
                            <w:left w:val="none" w:sz="0" w:space="0" w:color="auto"/>
                            <w:bottom w:val="none" w:sz="0" w:space="0" w:color="auto"/>
                            <w:right w:val="none" w:sz="0" w:space="0" w:color="auto"/>
                          </w:divBdr>
                        </w:div>
                        <w:div w:id="374935355">
                          <w:marLeft w:val="0"/>
                          <w:marRight w:val="0"/>
                          <w:marTop w:val="0"/>
                          <w:marBottom w:val="0"/>
                          <w:divBdr>
                            <w:top w:val="none" w:sz="0" w:space="0" w:color="auto"/>
                            <w:left w:val="none" w:sz="0" w:space="0" w:color="auto"/>
                            <w:bottom w:val="none" w:sz="0" w:space="0" w:color="auto"/>
                            <w:right w:val="none" w:sz="0" w:space="0" w:color="auto"/>
                          </w:divBdr>
                        </w:div>
                        <w:div w:id="1205602896">
                          <w:marLeft w:val="0"/>
                          <w:marRight w:val="0"/>
                          <w:marTop w:val="0"/>
                          <w:marBottom w:val="0"/>
                          <w:divBdr>
                            <w:top w:val="none" w:sz="0" w:space="0" w:color="auto"/>
                            <w:left w:val="none" w:sz="0" w:space="0" w:color="auto"/>
                            <w:bottom w:val="none" w:sz="0" w:space="0" w:color="auto"/>
                            <w:right w:val="none" w:sz="0" w:space="0" w:color="auto"/>
                          </w:divBdr>
                        </w:div>
                        <w:div w:id="615525844">
                          <w:marLeft w:val="0"/>
                          <w:marRight w:val="0"/>
                          <w:marTop w:val="0"/>
                          <w:marBottom w:val="0"/>
                          <w:divBdr>
                            <w:top w:val="none" w:sz="0" w:space="0" w:color="auto"/>
                            <w:left w:val="none" w:sz="0" w:space="0" w:color="auto"/>
                            <w:bottom w:val="none" w:sz="0" w:space="0" w:color="auto"/>
                            <w:right w:val="none" w:sz="0" w:space="0" w:color="auto"/>
                          </w:divBdr>
                        </w:div>
                        <w:div w:id="915358589">
                          <w:marLeft w:val="0"/>
                          <w:marRight w:val="0"/>
                          <w:marTop w:val="0"/>
                          <w:marBottom w:val="0"/>
                          <w:divBdr>
                            <w:top w:val="none" w:sz="0" w:space="0" w:color="auto"/>
                            <w:left w:val="none" w:sz="0" w:space="0" w:color="auto"/>
                            <w:bottom w:val="none" w:sz="0" w:space="0" w:color="auto"/>
                            <w:right w:val="none" w:sz="0" w:space="0" w:color="auto"/>
                          </w:divBdr>
                        </w:div>
                        <w:div w:id="630865412">
                          <w:marLeft w:val="0"/>
                          <w:marRight w:val="0"/>
                          <w:marTop w:val="0"/>
                          <w:marBottom w:val="0"/>
                          <w:divBdr>
                            <w:top w:val="none" w:sz="0" w:space="0" w:color="auto"/>
                            <w:left w:val="none" w:sz="0" w:space="0" w:color="auto"/>
                            <w:bottom w:val="none" w:sz="0" w:space="0" w:color="auto"/>
                            <w:right w:val="none" w:sz="0" w:space="0" w:color="auto"/>
                          </w:divBdr>
                        </w:div>
                        <w:div w:id="1039286008">
                          <w:marLeft w:val="0"/>
                          <w:marRight w:val="0"/>
                          <w:marTop w:val="0"/>
                          <w:marBottom w:val="0"/>
                          <w:divBdr>
                            <w:top w:val="none" w:sz="0" w:space="0" w:color="auto"/>
                            <w:left w:val="none" w:sz="0" w:space="0" w:color="auto"/>
                            <w:bottom w:val="none" w:sz="0" w:space="0" w:color="auto"/>
                            <w:right w:val="none" w:sz="0" w:space="0" w:color="auto"/>
                          </w:divBdr>
                        </w:div>
                        <w:div w:id="1525362954">
                          <w:marLeft w:val="0"/>
                          <w:marRight w:val="0"/>
                          <w:marTop w:val="0"/>
                          <w:marBottom w:val="0"/>
                          <w:divBdr>
                            <w:top w:val="none" w:sz="0" w:space="0" w:color="auto"/>
                            <w:left w:val="none" w:sz="0" w:space="0" w:color="auto"/>
                            <w:bottom w:val="none" w:sz="0" w:space="0" w:color="auto"/>
                            <w:right w:val="none" w:sz="0" w:space="0" w:color="auto"/>
                          </w:divBdr>
                        </w:div>
                        <w:div w:id="1521553877">
                          <w:marLeft w:val="0"/>
                          <w:marRight w:val="0"/>
                          <w:marTop w:val="0"/>
                          <w:marBottom w:val="0"/>
                          <w:divBdr>
                            <w:top w:val="none" w:sz="0" w:space="0" w:color="auto"/>
                            <w:left w:val="none" w:sz="0" w:space="0" w:color="auto"/>
                            <w:bottom w:val="none" w:sz="0" w:space="0" w:color="auto"/>
                            <w:right w:val="none" w:sz="0" w:space="0" w:color="auto"/>
                          </w:divBdr>
                        </w:div>
                        <w:div w:id="758065478">
                          <w:marLeft w:val="0"/>
                          <w:marRight w:val="0"/>
                          <w:marTop w:val="0"/>
                          <w:marBottom w:val="0"/>
                          <w:divBdr>
                            <w:top w:val="none" w:sz="0" w:space="0" w:color="auto"/>
                            <w:left w:val="none" w:sz="0" w:space="0" w:color="auto"/>
                            <w:bottom w:val="none" w:sz="0" w:space="0" w:color="auto"/>
                            <w:right w:val="none" w:sz="0" w:space="0" w:color="auto"/>
                          </w:divBdr>
                        </w:div>
                        <w:div w:id="1917284571">
                          <w:marLeft w:val="0"/>
                          <w:marRight w:val="0"/>
                          <w:marTop w:val="0"/>
                          <w:marBottom w:val="0"/>
                          <w:divBdr>
                            <w:top w:val="none" w:sz="0" w:space="0" w:color="auto"/>
                            <w:left w:val="none" w:sz="0" w:space="0" w:color="auto"/>
                            <w:bottom w:val="none" w:sz="0" w:space="0" w:color="auto"/>
                            <w:right w:val="none" w:sz="0" w:space="0" w:color="auto"/>
                          </w:divBdr>
                        </w:div>
                        <w:div w:id="738988351">
                          <w:marLeft w:val="0"/>
                          <w:marRight w:val="0"/>
                          <w:marTop w:val="0"/>
                          <w:marBottom w:val="0"/>
                          <w:divBdr>
                            <w:top w:val="none" w:sz="0" w:space="0" w:color="auto"/>
                            <w:left w:val="none" w:sz="0" w:space="0" w:color="auto"/>
                            <w:bottom w:val="none" w:sz="0" w:space="0" w:color="auto"/>
                            <w:right w:val="none" w:sz="0" w:space="0" w:color="auto"/>
                          </w:divBdr>
                        </w:div>
                        <w:div w:id="902104359">
                          <w:marLeft w:val="0"/>
                          <w:marRight w:val="0"/>
                          <w:marTop w:val="0"/>
                          <w:marBottom w:val="0"/>
                          <w:divBdr>
                            <w:top w:val="none" w:sz="0" w:space="0" w:color="auto"/>
                            <w:left w:val="none" w:sz="0" w:space="0" w:color="auto"/>
                            <w:bottom w:val="none" w:sz="0" w:space="0" w:color="auto"/>
                            <w:right w:val="none" w:sz="0" w:space="0" w:color="auto"/>
                          </w:divBdr>
                        </w:div>
                        <w:div w:id="772093579">
                          <w:marLeft w:val="0"/>
                          <w:marRight w:val="0"/>
                          <w:marTop w:val="0"/>
                          <w:marBottom w:val="0"/>
                          <w:divBdr>
                            <w:top w:val="none" w:sz="0" w:space="0" w:color="auto"/>
                            <w:left w:val="none" w:sz="0" w:space="0" w:color="auto"/>
                            <w:bottom w:val="none" w:sz="0" w:space="0" w:color="auto"/>
                            <w:right w:val="none" w:sz="0" w:space="0" w:color="auto"/>
                          </w:divBdr>
                        </w:div>
                        <w:div w:id="307172761">
                          <w:marLeft w:val="0"/>
                          <w:marRight w:val="0"/>
                          <w:marTop w:val="0"/>
                          <w:marBottom w:val="0"/>
                          <w:divBdr>
                            <w:top w:val="none" w:sz="0" w:space="0" w:color="auto"/>
                            <w:left w:val="none" w:sz="0" w:space="0" w:color="auto"/>
                            <w:bottom w:val="none" w:sz="0" w:space="0" w:color="auto"/>
                            <w:right w:val="none" w:sz="0" w:space="0" w:color="auto"/>
                          </w:divBdr>
                        </w:div>
                        <w:div w:id="432479196">
                          <w:marLeft w:val="0"/>
                          <w:marRight w:val="0"/>
                          <w:marTop w:val="0"/>
                          <w:marBottom w:val="0"/>
                          <w:divBdr>
                            <w:top w:val="none" w:sz="0" w:space="0" w:color="auto"/>
                            <w:left w:val="none" w:sz="0" w:space="0" w:color="auto"/>
                            <w:bottom w:val="none" w:sz="0" w:space="0" w:color="auto"/>
                            <w:right w:val="none" w:sz="0" w:space="0" w:color="auto"/>
                          </w:divBdr>
                        </w:div>
                        <w:div w:id="1743330455">
                          <w:marLeft w:val="0"/>
                          <w:marRight w:val="0"/>
                          <w:marTop w:val="0"/>
                          <w:marBottom w:val="0"/>
                          <w:divBdr>
                            <w:top w:val="none" w:sz="0" w:space="0" w:color="auto"/>
                            <w:left w:val="none" w:sz="0" w:space="0" w:color="auto"/>
                            <w:bottom w:val="none" w:sz="0" w:space="0" w:color="auto"/>
                            <w:right w:val="none" w:sz="0" w:space="0" w:color="auto"/>
                          </w:divBdr>
                        </w:div>
                        <w:div w:id="1582442737">
                          <w:marLeft w:val="0"/>
                          <w:marRight w:val="0"/>
                          <w:marTop w:val="0"/>
                          <w:marBottom w:val="0"/>
                          <w:divBdr>
                            <w:top w:val="none" w:sz="0" w:space="0" w:color="auto"/>
                            <w:left w:val="none" w:sz="0" w:space="0" w:color="auto"/>
                            <w:bottom w:val="none" w:sz="0" w:space="0" w:color="auto"/>
                            <w:right w:val="none" w:sz="0" w:space="0" w:color="auto"/>
                          </w:divBdr>
                        </w:div>
                        <w:div w:id="1229268291">
                          <w:marLeft w:val="0"/>
                          <w:marRight w:val="0"/>
                          <w:marTop w:val="0"/>
                          <w:marBottom w:val="0"/>
                          <w:divBdr>
                            <w:top w:val="none" w:sz="0" w:space="0" w:color="auto"/>
                            <w:left w:val="none" w:sz="0" w:space="0" w:color="auto"/>
                            <w:bottom w:val="none" w:sz="0" w:space="0" w:color="auto"/>
                            <w:right w:val="none" w:sz="0" w:space="0" w:color="auto"/>
                          </w:divBdr>
                        </w:div>
                        <w:div w:id="168563315">
                          <w:marLeft w:val="0"/>
                          <w:marRight w:val="0"/>
                          <w:marTop w:val="0"/>
                          <w:marBottom w:val="0"/>
                          <w:divBdr>
                            <w:top w:val="none" w:sz="0" w:space="0" w:color="auto"/>
                            <w:left w:val="none" w:sz="0" w:space="0" w:color="auto"/>
                            <w:bottom w:val="none" w:sz="0" w:space="0" w:color="auto"/>
                            <w:right w:val="none" w:sz="0" w:space="0" w:color="auto"/>
                          </w:divBdr>
                        </w:div>
                        <w:div w:id="1126658145">
                          <w:marLeft w:val="0"/>
                          <w:marRight w:val="0"/>
                          <w:marTop w:val="0"/>
                          <w:marBottom w:val="0"/>
                          <w:divBdr>
                            <w:top w:val="none" w:sz="0" w:space="0" w:color="auto"/>
                            <w:left w:val="none" w:sz="0" w:space="0" w:color="auto"/>
                            <w:bottom w:val="none" w:sz="0" w:space="0" w:color="auto"/>
                            <w:right w:val="none" w:sz="0" w:space="0" w:color="auto"/>
                          </w:divBdr>
                        </w:div>
                        <w:div w:id="1354500157">
                          <w:marLeft w:val="0"/>
                          <w:marRight w:val="0"/>
                          <w:marTop w:val="0"/>
                          <w:marBottom w:val="0"/>
                          <w:divBdr>
                            <w:top w:val="none" w:sz="0" w:space="0" w:color="auto"/>
                            <w:left w:val="none" w:sz="0" w:space="0" w:color="auto"/>
                            <w:bottom w:val="none" w:sz="0" w:space="0" w:color="auto"/>
                            <w:right w:val="none" w:sz="0" w:space="0" w:color="auto"/>
                          </w:divBdr>
                        </w:div>
                        <w:div w:id="300038633">
                          <w:marLeft w:val="0"/>
                          <w:marRight w:val="0"/>
                          <w:marTop w:val="0"/>
                          <w:marBottom w:val="0"/>
                          <w:divBdr>
                            <w:top w:val="none" w:sz="0" w:space="0" w:color="auto"/>
                            <w:left w:val="none" w:sz="0" w:space="0" w:color="auto"/>
                            <w:bottom w:val="none" w:sz="0" w:space="0" w:color="auto"/>
                            <w:right w:val="none" w:sz="0" w:space="0" w:color="auto"/>
                          </w:divBdr>
                        </w:div>
                        <w:div w:id="845291741">
                          <w:marLeft w:val="0"/>
                          <w:marRight w:val="0"/>
                          <w:marTop w:val="0"/>
                          <w:marBottom w:val="0"/>
                          <w:divBdr>
                            <w:top w:val="none" w:sz="0" w:space="0" w:color="auto"/>
                            <w:left w:val="none" w:sz="0" w:space="0" w:color="auto"/>
                            <w:bottom w:val="none" w:sz="0" w:space="0" w:color="auto"/>
                            <w:right w:val="none" w:sz="0" w:space="0" w:color="auto"/>
                          </w:divBdr>
                        </w:div>
                        <w:div w:id="1123497891">
                          <w:marLeft w:val="0"/>
                          <w:marRight w:val="0"/>
                          <w:marTop w:val="0"/>
                          <w:marBottom w:val="0"/>
                          <w:divBdr>
                            <w:top w:val="none" w:sz="0" w:space="0" w:color="auto"/>
                            <w:left w:val="none" w:sz="0" w:space="0" w:color="auto"/>
                            <w:bottom w:val="none" w:sz="0" w:space="0" w:color="auto"/>
                            <w:right w:val="none" w:sz="0" w:space="0" w:color="auto"/>
                          </w:divBdr>
                        </w:div>
                        <w:div w:id="1960795839">
                          <w:marLeft w:val="0"/>
                          <w:marRight w:val="0"/>
                          <w:marTop w:val="0"/>
                          <w:marBottom w:val="0"/>
                          <w:divBdr>
                            <w:top w:val="none" w:sz="0" w:space="0" w:color="auto"/>
                            <w:left w:val="none" w:sz="0" w:space="0" w:color="auto"/>
                            <w:bottom w:val="none" w:sz="0" w:space="0" w:color="auto"/>
                            <w:right w:val="none" w:sz="0" w:space="0" w:color="auto"/>
                          </w:divBdr>
                        </w:div>
                        <w:div w:id="1560238897">
                          <w:marLeft w:val="0"/>
                          <w:marRight w:val="0"/>
                          <w:marTop w:val="0"/>
                          <w:marBottom w:val="0"/>
                          <w:divBdr>
                            <w:top w:val="none" w:sz="0" w:space="0" w:color="auto"/>
                            <w:left w:val="none" w:sz="0" w:space="0" w:color="auto"/>
                            <w:bottom w:val="none" w:sz="0" w:space="0" w:color="auto"/>
                            <w:right w:val="none" w:sz="0" w:space="0" w:color="auto"/>
                          </w:divBdr>
                        </w:div>
                        <w:div w:id="2106025231">
                          <w:marLeft w:val="0"/>
                          <w:marRight w:val="0"/>
                          <w:marTop w:val="0"/>
                          <w:marBottom w:val="0"/>
                          <w:divBdr>
                            <w:top w:val="none" w:sz="0" w:space="0" w:color="auto"/>
                            <w:left w:val="none" w:sz="0" w:space="0" w:color="auto"/>
                            <w:bottom w:val="none" w:sz="0" w:space="0" w:color="auto"/>
                            <w:right w:val="none" w:sz="0" w:space="0" w:color="auto"/>
                          </w:divBdr>
                        </w:div>
                        <w:div w:id="406341968">
                          <w:marLeft w:val="0"/>
                          <w:marRight w:val="0"/>
                          <w:marTop w:val="0"/>
                          <w:marBottom w:val="0"/>
                          <w:divBdr>
                            <w:top w:val="none" w:sz="0" w:space="0" w:color="auto"/>
                            <w:left w:val="none" w:sz="0" w:space="0" w:color="auto"/>
                            <w:bottom w:val="none" w:sz="0" w:space="0" w:color="auto"/>
                            <w:right w:val="none" w:sz="0" w:space="0" w:color="auto"/>
                          </w:divBdr>
                        </w:div>
                        <w:div w:id="788280071">
                          <w:marLeft w:val="0"/>
                          <w:marRight w:val="0"/>
                          <w:marTop w:val="0"/>
                          <w:marBottom w:val="0"/>
                          <w:divBdr>
                            <w:top w:val="none" w:sz="0" w:space="0" w:color="auto"/>
                            <w:left w:val="none" w:sz="0" w:space="0" w:color="auto"/>
                            <w:bottom w:val="none" w:sz="0" w:space="0" w:color="auto"/>
                            <w:right w:val="none" w:sz="0" w:space="0" w:color="auto"/>
                          </w:divBdr>
                        </w:div>
                        <w:div w:id="823665207">
                          <w:marLeft w:val="0"/>
                          <w:marRight w:val="0"/>
                          <w:marTop w:val="0"/>
                          <w:marBottom w:val="0"/>
                          <w:divBdr>
                            <w:top w:val="none" w:sz="0" w:space="0" w:color="auto"/>
                            <w:left w:val="none" w:sz="0" w:space="0" w:color="auto"/>
                            <w:bottom w:val="none" w:sz="0" w:space="0" w:color="auto"/>
                            <w:right w:val="none" w:sz="0" w:space="0" w:color="auto"/>
                          </w:divBdr>
                        </w:div>
                        <w:div w:id="515778378">
                          <w:marLeft w:val="0"/>
                          <w:marRight w:val="0"/>
                          <w:marTop w:val="0"/>
                          <w:marBottom w:val="0"/>
                          <w:divBdr>
                            <w:top w:val="none" w:sz="0" w:space="0" w:color="auto"/>
                            <w:left w:val="none" w:sz="0" w:space="0" w:color="auto"/>
                            <w:bottom w:val="none" w:sz="0" w:space="0" w:color="auto"/>
                            <w:right w:val="none" w:sz="0" w:space="0" w:color="auto"/>
                          </w:divBdr>
                        </w:div>
                        <w:div w:id="1654527414">
                          <w:marLeft w:val="0"/>
                          <w:marRight w:val="0"/>
                          <w:marTop w:val="0"/>
                          <w:marBottom w:val="0"/>
                          <w:divBdr>
                            <w:top w:val="none" w:sz="0" w:space="0" w:color="auto"/>
                            <w:left w:val="none" w:sz="0" w:space="0" w:color="auto"/>
                            <w:bottom w:val="none" w:sz="0" w:space="0" w:color="auto"/>
                            <w:right w:val="none" w:sz="0" w:space="0" w:color="auto"/>
                          </w:divBdr>
                        </w:div>
                        <w:div w:id="18513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4253">
          <w:marLeft w:val="0"/>
          <w:marRight w:val="0"/>
          <w:marTop w:val="0"/>
          <w:marBottom w:val="0"/>
          <w:divBdr>
            <w:top w:val="none" w:sz="0" w:space="0" w:color="auto"/>
            <w:left w:val="none" w:sz="0" w:space="0" w:color="auto"/>
            <w:bottom w:val="none" w:sz="0" w:space="0" w:color="auto"/>
            <w:right w:val="none" w:sz="0" w:space="0" w:color="auto"/>
          </w:divBdr>
        </w:div>
        <w:div w:id="2092265413">
          <w:marLeft w:val="0"/>
          <w:marRight w:val="0"/>
          <w:marTop w:val="0"/>
          <w:marBottom w:val="0"/>
          <w:divBdr>
            <w:top w:val="none" w:sz="0" w:space="0" w:color="auto"/>
            <w:left w:val="none" w:sz="0" w:space="0" w:color="auto"/>
            <w:bottom w:val="none" w:sz="0" w:space="0" w:color="auto"/>
            <w:right w:val="none" w:sz="0" w:space="0" w:color="auto"/>
          </w:divBdr>
          <w:divsChild>
            <w:div w:id="1314329678">
              <w:marLeft w:val="0"/>
              <w:marRight w:val="0"/>
              <w:marTop w:val="0"/>
              <w:marBottom w:val="0"/>
              <w:divBdr>
                <w:top w:val="none" w:sz="0" w:space="0" w:color="auto"/>
                <w:left w:val="none" w:sz="0" w:space="0" w:color="auto"/>
                <w:bottom w:val="none" w:sz="0" w:space="0" w:color="auto"/>
                <w:right w:val="none" w:sz="0" w:space="0" w:color="auto"/>
              </w:divBdr>
              <w:divsChild>
                <w:div w:id="729694141">
                  <w:marLeft w:val="0"/>
                  <w:marRight w:val="0"/>
                  <w:marTop w:val="0"/>
                  <w:marBottom w:val="150"/>
                  <w:divBdr>
                    <w:top w:val="none" w:sz="0" w:space="0" w:color="auto"/>
                    <w:left w:val="none" w:sz="0" w:space="0" w:color="auto"/>
                    <w:bottom w:val="none" w:sz="0" w:space="0" w:color="auto"/>
                    <w:right w:val="none" w:sz="0" w:space="0" w:color="auto"/>
                  </w:divBdr>
                  <w:divsChild>
                    <w:div w:id="5483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8513">
          <w:marLeft w:val="0"/>
          <w:marRight w:val="0"/>
          <w:marTop w:val="0"/>
          <w:marBottom w:val="0"/>
          <w:divBdr>
            <w:top w:val="none" w:sz="0" w:space="0" w:color="auto"/>
            <w:left w:val="none" w:sz="0" w:space="0" w:color="auto"/>
            <w:bottom w:val="none" w:sz="0" w:space="0" w:color="auto"/>
            <w:right w:val="none" w:sz="0" w:space="0" w:color="auto"/>
          </w:divBdr>
          <w:divsChild>
            <w:div w:id="840662272">
              <w:marLeft w:val="0"/>
              <w:marRight w:val="0"/>
              <w:marTop w:val="0"/>
              <w:marBottom w:val="150"/>
              <w:divBdr>
                <w:top w:val="none" w:sz="0" w:space="0" w:color="auto"/>
                <w:left w:val="none" w:sz="0" w:space="0" w:color="auto"/>
                <w:bottom w:val="none" w:sz="0" w:space="0" w:color="auto"/>
                <w:right w:val="none" w:sz="0" w:space="0" w:color="auto"/>
              </w:divBdr>
              <w:divsChild>
                <w:div w:id="2118676462">
                  <w:marLeft w:val="-300"/>
                  <w:marRight w:val="-300"/>
                  <w:marTop w:val="0"/>
                  <w:marBottom w:val="0"/>
                  <w:divBdr>
                    <w:top w:val="none" w:sz="0" w:space="0" w:color="auto"/>
                    <w:left w:val="none" w:sz="0" w:space="0" w:color="auto"/>
                    <w:bottom w:val="none" w:sz="0" w:space="0" w:color="auto"/>
                    <w:right w:val="none" w:sz="0" w:space="0" w:color="auto"/>
                  </w:divBdr>
                  <w:divsChild>
                    <w:div w:id="1353804001">
                      <w:marLeft w:val="360"/>
                      <w:marRight w:val="0"/>
                      <w:marTop w:val="0"/>
                      <w:marBottom w:val="0"/>
                      <w:divBdr>
                        <w:top w:val="none" w:sz="0" w:space="0" w:color="auto"/>
                        <w:left w:val="none" w:sz="0" w:space="0" w:color="auto"/>
                        <w:bottom w:val="none" w:sz="0" w:space="0" w:color="auto"/>
                        <w:right w:val="none" w:sz="0" w:space="0" w:color="auto"/>
                      </w:divBdr>
                      <w:divsChild>
                        <w:div w:id="181207376">
                          <w:marLeft w:val="0"/>
                          <w:marRight w:val="0"/>
                          <w:marTop w:val="0"/>
                          <w:marBottom w:val="0"/>
                          <w:divBdr>
                            <w:top w:val="none" w:sz="0" w:space="0" w:color="auto"/>
                            <w:left w:val="none" w:sz="0" w:space="0" w:color="auto"/>
                            <w:bottom w:val="none" w:sz="0" w:space="0" w:color="auto"/>
                            <w:right w:val="none" w:sz="0" w:space="0" w:color="auto"/>
                          </w:divBdr>
                        </w:div>
                      </w:divsChild>
                    </w:div>
                    <w:div w:id="7946855">
                      <w:marLeft w:val="360"/>
                      <w:marRight w:val="0"/>
                      <w:marTop w:val="0"/>
                      <w:marBottom w:val="0"/>
                      <w:divBdr>
                        <w:top w:val="none" w:sz="0" w:space="0" w:color="auto"/>
                        <w:left w:val="none" w:sz="0" w:space="0" w:color="auto"/>
                        <w:bottom w:val="none" w:sz="0" w:space="0" w:color="auto"/>
                        <w:right w:val="none" w:sz="0" w:space="0" w:color="auto"/>
                      </w:divBdr>
                      <w:divsChild>
                        <w:div w:id="148713495">
                          <w:marLeft w:val="0"/>
                          <w:marRight w:val="0"/>
                          <w:marTop w:val="0"/>
                          <w:marBottom w:val="0"/>
                          <w:divBdr>
                            <w:top w:val="none" w:sz="0" w:space="0" w:color="auto"/>
                            <w:left w:val="none" w:sz="0" w:space="0" w:color="auto"/>
                            <w:bottom w:val="none" w:sz="0" w:space="0" w:color="auto"/>
                            <w:right w:val="none" w:sz="0" w:space="0" w:color="auto"/>
                          </w:divBdr>
                          <w:divsChild>
                            <w:div w:id="558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21182">
          <w:marLeft w:val="0"/>
          <w:marRight w:val="0"/>
          <w:marTop w:val="0"/>
          <w:marBottom w:val="0"/>
          <w:divBdr>
            <w:top w:val="none" w:sz="0" w:space="0" w:color="auto"/>
            <w:left w:val="none" w:sz="0" w:space="0" w:color="auto"/>
            <w:bottom w:val="none" w:sz="0" w:space="0" w:color="auto"/>
            <w:right w:val="none" w:sz="0" w:space="0" w:color="auto"/>
          </w:divBdr>
          <w:divsChild>
            <w:div w:id="1347171495">
              <w:marLeft w:val="0"/>
              <w:marRight w:val="0"/>
              <w:marTop w:val="0"/>
              <w:marBottom w:val="0"/>
              <w:divBdr>
                <w:top w:val="none" w:sz="0" w:space="0" w:color="auto"/>
                <w:left w:val="none" w:sz="0" w:space="0" w:color="auto"/>
                <w:bottom w:val="none" w:sz="0" w:space="0" w:color="auto"/>
                <w:right w:val="none" w:sz="0" w:space="0" w:color="auto"/>
              </w:divBdr>
              <w:divsChild>
                <w:div w:id="953749941">
                  <w:marLeft w:val="0"/>
                  <w:marRight w:val="0"/>
                  <w:marTop w:val="0"/>
                  <w:marBottom w:val="0"/>
                  <w:divBdr>
                    <w:top w:val="none" w:sz="0" w:space="0" w:color="auto"/>
                    <w:left w:val="none" w:sz="0" w:space="0" w:color="auto"/>
                    <w:bottom w:val="none" w:sz="0" w:space="0" w:color="auto"/>
                    <w:right w:val="none" w:sz="0" w:space="0" w:color="auto"/>
                  </w:divBdr>
                  <w:divsChild>
                    <w:div w:id="946886010">
                      <w:marLeft w:val="0"/>
                      <w:marRight w:val="0"/>
                      <w:marTop w:val="0"/>
                      <w:marBottom w:val="0"/>
                      <w:divBdr>
                        <w:top w:val="none" w:sz="0" w:space="0" w:color="auto"/>
                        <w:left w:val="none" w:sz="0" w:space="0" w:color="auto"/>
                        <w:bottom w:val="none" w:sz="0" w:space="0" w:color="auto"/>
                        <w:right w:val="none" w:sz="0" w:space="0" w:color="auto"/>
                      </w:divBdr>
                      <w:divsChild>
                        <w:div w:id="513692743">
                          <w:marLeft w:val="0"/>
                          <w:marRight w:val="0"/>
                          <w:marTop w:val="0"/>
                          <w:marBottom w:val="0"/>
                          <w:divBdr>
                            <w:top w:val="none" w:sz="0" w:space="0" w:color="auto"/>
                            <w:left w:val="none" w:sz="0" w:space="0" w:color="auto"/>
                            <w:bottom w:val="none" w:sz="0" w:space="0" w:color="auto"/>
                            <w:right w:val="none" w:sz="0" w:space="0" w:color="auto"/>
                          </w:divBdr>
                          <w:divsChild>
                            <w:div w:id="983317179">
                              <w:marLeft w:val="0"/>
                              <w:marRight w:val="0"/>
                              <w:marTop w:val="0"/>
                              <w:marBottom w:val="150"/>
                              <w:divBdr>
                                <w:top w:val="none" w:sz="0" w:space="0" w:color="auto"/>
                                <w:left w:val="none" w:sz="0" w:space="0" w:color="auto"/>
                                <w:bottom w:val="none" w:sz="0" w:space="0" w:color="auto"/>
                                <w:right w:val="none" w:sz="0" w:space="0" w:color="auto"/>
                              </w:divBdr>
                              <w:divsChild>
                                <w:div w:id="753818822">
                                  <w:marLeft w:val="0"/>
                                  <w:marRight w:val="0"/>
                                  <w:marTop w:val="0"/>
                                  <w:marBottom w:val="0"/>
                                  <w:divBdr>
                                    <w:top w:val="single" w:sz="6" w:space="6" w:color="EBEBEB"/>
                                    <w:left w:val="single" w:sz="6" w:space="9" w:color="EBEBEB"/>
                                    <w:bottom w:val="single" w:sz="6" w:space="6" w:color="EBEBEB"/>
                                    <w:right w:val="single" w:sz="6" w:space="9" w:color="EBEBEB"/>
                                  </w:divBdr>
                                  <w:divsChild>
                                    <w:div w:id="1134710550">
                                      <w:marLeft w:val="0"/>
                                      <w:marRight w:val="0"/>
                                      <w:marTop w:val="0"/>
                                      <w:marBottom w:val="0"/>
                                      <w:divBdr>
                                        <w:top w:val="none" w:sz="0" w:space="0" w:color="auto"/>
                                        <w:left w:val="none" w:sz="0" w:space="0" w:color="auto"/>
                                        <w:bottom w:val="none" w:sz="0" w:space="0" w:color="auto"/>
                                        <w:right w:val="none" w:sz="0" w:space="0" w:color="auto"/>
                                      </w:divBdr>
                                      <w:divsChild>
                                        <w:div w:id="1187598310">
                                          <w:marLeft w:val="0"/>
                                          <w:marRight w:val="0"/>
                                          <w:marTop w:val="0"/>
                                          <w:marBottom w:val="0"/>
                                          <w:divBdr>
                                            <w:top w:val="none" w:sz="0" w:space="0" w:color="auto"/>
                                            <w:left w:val="none" w:sz="0" w:space="0" w:color="auto"/>
                                            <w:bottom w:val="none" w:sz="0" w:space="0" w:color="auto"/>
                                            <w:right w:val="none" w:sz="0" w:space="0" w:color="auto"/>
                                          </w:divBdr>
                                          <w:divsChild>
                                            <w:div w:id="1759134209">
                                              <w:marLeft w:val="0"/>
                                              <w:marRight w:val="0"/>
                                              <w:marTop w:val="0"/>
                                              <w:marBottom w:val="0"/>
                                              <w:divBdr>
                                                <w:top w:val="none" w:sz="0" w:space="0" w:color="auto"/>
                                                <w:left w:val="none" w:sz="0" w:space="0" w:color="auto"/>
                                                <w:bottom w:val="none" w:sz="0" w:space="0" w:color="auto"/>
                                                <w:right w:val="none" w:sz="0" w:space="0" w:color="auto"/>
                                              </w:divBdr>
                                              <w:divsChild>
                                                <w:div w:id="174001182">
                                                  <w:marLeft w:val="0"/>
                                                  <w:marRight w:val="0"/>
                                                  <w:marTop w:val="0"/>
                                                  <w:marBottom w:val="0"/>
                                                  <w:divBdr>
                                                    <w:top w:val="none" w:sz="0" w:space="0" w:color="auto"/>
                                                    <w:left w:val="none" w:sz="0" w:space="0" w:color="auto"/>
                                                    <w:bottom w:val="none" w:sz="0" w:space="0" w:color="auto"/>
                                                    <w:right w:val="none" w:sz="0" w:space="0" w:color="auto"/>
                                                  </w:divBdr>
                                                  <w:divsChild>
                                                    <w:div w:id="227040997">
                                                      <w:marLeft w:val="0"/>
                                                      <w:marRight w:val="0"/>
                                                      <w:marTop w:val="0"/>
                                                      <w:marBottom w:val="0"/>
                                                      <w:divBdr>
                                                        <w:top w:val="none" w:sz="0" w:space="0" w:color="auto"/>
                                                        <w:left w:val="none" w:sz="0" w:space="0" w:color="auto"/>
                                                        <w:bottom w:val="none" w:sz="0" w:space="0" w:color="auto"/>
                                                        <w:right w:val="none" w:sz="0" w:space="0" w:color="auto"/>
                                                      </w:divBdr>
                                                      <w:divsChild>
                                                        <w:div w:id="812062233">
                                                          <w:marLeft w:val="0"/>
                                                          <w:marRight w:val="0"/>
                                                          <w:marTop w:val="0"/>
                                                          <w:marBottom w:val="0"/>
                                                          <w:divBdr>
                                                            <w:top w:val="none" w:sz="0" w:space="0" w:color="auto"/>
                                                            <w:left w:val="none" w:sz="0" w:space="0" w:color="auto"/>
                                                            <w:bottom w:val="none" w:sz="0" w:space="0" w:color="auto"/>
                                                            <w:right w:val="none" w:sz="0" w:space="0" w:color="auto"/>
                                                          </w:divBdr>
                                                          <w:divsChild>
                                                            <w:div w:id="1674840182">
                                                              <w:marLeft w:val="0"/>
                                                              <w:marRight w:val="0"/>
                                                              <w:marTop w:val="0"/>
                                                              <w:marBottom w:val="0"/>
                                                              <w:divBdr>
                                                                <w:top w:val="none" w:sz="0" w:space="0" w:color="auto"/>
                                                                <w:left w:val="none" w:sz="0" w:space="0" w:color="auto"/>
                                                                <w:bottom w:val="none" w:sz="0" w:space="0" w:color="auto"/>
                                                                <w:right w:val="none" w:sz="0" w:space="0" w:color="auto"/>
                                                              </w:divBdr>
                                                            </w:div>
                                                          </w:divsChild>
                                                        </w:div>
                                                        <w:div w:id="1473133299">
                                                          <w:marLeft w:val="0"/>
                                                          <w:marRight w:val="0"/>
                                                          <w:marTop w:val="0"/>
                                                          <w:marBottom w:val="0"/>
                                                          <w:divBdr>
                                                            <w:top w:val="none" w:sz="0" w:space="0" w:color="auto"/>
                                                            <w:left w:val="none" w:sz="0" w:space="0" w:color="auto"/>
                                                            <w:bottom w:val="none" w:sz="0" w:space="0" w:color="auto"/>
                                                            <w:right w:val="none" w:sz="0" w:space="0" w:color="auto"/>
                                                          </w:divBdr>
                                                          <w:divsChild>
                                                            <w:div w:id="1624187755">
                                                              <w:marLeft w:val="0"/>
                                                              <w:marRight w:val="0"/>
                                                              <w:marTop w:val="0"/>
                                                              <w:marBottom w:val="0"/>
                                                              <w:divBdr>
                                                                <w:top w:val="none" w:sz="0" w:space="0" w:color="auto"/>
                                                                <w:left w:val="none" w:sz="0" w:space="0" w:color="auto"/>
                                                                <w:bottom w:val="none" w:sz="0" w:space="0" w:color="auto"/>
                                                                <w:right w:val="none" w:sz="0" w:space="0" w:color="auto"/>
                                                              </w:divBdr>
                                                              <w:divsChild>
                                                                <w:div w:id="2091197105">
                                                                  <w:marLeft w:val="0"/>
                                                                  <w:marRight w:val="0"/>
                                                                  <w:marTop w:val="0"/>
                                                                  <w:marBottom w:val="0"/>
                                                                  <w:divBdr>
                                                                    <w:top w:val="none" w:sz="0" w:space="0" w:color="auto"/>
                                                                    <w:left w:val="none" w:sz="0" w:space="0" w:color="auto"/>
                                                                    <w:bottom w:val="none" w:sz="0" w:space="0" w:color="auto"/>
                                                                    <w:right w:val="none" w:sz="0" w:space="0" w:color="auto"/>
                                                                  </w:divBdr>
                                                                  <w:divsChild>
                                                                    <w:div w:id="1796020949">
                                                                      <w:marLeft w:val="0"/>
                                                                      <w:marRight w:val="0"/>
                                                                      <w:marTop w:val="0"/>
                                                                      <w:marBottom w:val="0"/>
                                                                      <w:divBdr>
                                                                        <w:top w:val="none" w:sz="0" w:space="0" w:color="auto"/>
                                                                        <w:left w:val="none" w:sz="0" w:space="0" w:color="auto"/>
                                                                        <w:bottom w:val="none" w:sz="0" w:space="0" w:color="auto"/>
                                                                        <w:right w:val="none" w:sz="0" w:space="0" w:color="auto"/>
                                                                      </w:divBdr>
                                                                      <w:divsChild>
                                                                        <w:div w:id="14342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726420">
      <w:bodyDiv w:val="1"/>
      <w:marLeft w:val="0"/>
      <w:marRight w:val="0"/>
      <w:marTop w:val="0"/>
      <w:marBottom w:val="0"/>
      <w:divBdr>
        <w:top w:val="none" w:sz="0" w:space="0" w:color="auto"/>
        <w:left w:val="none" w:sz="0" w:space="0" w:color="auto"/>
        <w:bottom w:val="none" w:sz="0" w:space="0" w:color="auto"/>
        <w:right w:val="none" w:sz="0" w:space="0" w:color="auto"/>
      </w:divBdr>
    </w:div>
    <w:div w:id="981927504">
      <w:bodyDiv w:val="1"/>
      <w:marLeft w:val="0"/>
      <w:marRight w:val="0"/>
      <w:marTop w:val="0"/>
      <w:marBottom w:val="0"/>
      <w:divBdr>
        <w:top w:val="none" w:sz="0" w:space="0" w:color="auto"/>
        <w:left w:val="none" w:sz="0" w:space="0" w:color="auto"/>
        <w:bottom w:val="none" w:sz="0" w:space="0" w:color="auto"/>
        <w:right w:val="none" w:sz="0" w:space="0" w:color="auto"/>
      </w:divBdr>
    </w:div>
    <w:div w:id="1209338636">
      <w:bodyDiv w:val="1"/>
      <w:marLeft w:val="0"/>
      <w:marRight w:val="0"/>
      <w:marTop w:val="0"/>
      <w:marBottom w:val="0"/>
      <w:divBdr>
        <w:top w:val="none" w:sz="0" w:space="0" w:color="auto"/>
        <w:left w:val="none" w:sz="0" w:space="0" w:color="auto"/>
        <w:bottom w:val="none" w:sz="0" w:space="0" w:color="auto"/>
        <w:right w:val="none" w:sz="0" w:space="0" w:color="auto"/>
      </w:divBdr>
    </w:div>
    <w:div w:id="1272978318">
      <w:bodyDiv w:val="1"/>
      <w:marLeft w:val="0"/>
      <w:marRight w:val="0"/>
      <w:marTop w:val="0"/>
      <w:marBottom w:val="0"/>
      <w:divBdr>
        <w:top w:val="none" w:sz="0" w:space="0" w:color="auto"/>
        <w:left w:val="none" w:sz="0" w:space="0" w:color="auto"/>
        <w:bottom w:val="none" w:sz="0" w:space="0" w:color="auto"/>
        <w:right w:val="none" w:sz="0" w:space="0" w:color="auto"/>
      </w:divBdr>
    </w:div>
    <w:div w:id="1362125609">
      <w:bodyDiv w:val="1"/>
      <w:marLeft w:val="0"/>
      <w:marRight w:val="0"/>
      <w:marTop w:val="0"/>
      <w:marBottom w:val="0"/>
      <w:divBdr>
        <w:top w:val="none" w:sz="0" w:space="0" w:color="auto"/>
        <w:left w:val="none" w:sz="0" w:space="0" w:color="auto"/>
        <w:bottom w:val="none" w:sz="0" w:space="0" w:color="auto"/>
        <w:right w:val="none" w:sz="0" w:space="0" w:color="auto"/>
      </w:divBdr>
    </w:div>
    <w:div w:id="1601328387">
      <w:bodyDiv w:val="1"/>
      <w:marLeft w:val="0"/>
      <w:marRight w:val="0"/>
      <w:marTop w:val="0"/>
      <w:marBottom w:val="0"/>
      <w:divBdr>
        <w:top w:val="none" w:sz="0" w:space="0" w:color="auto"/>
        <w:left w:val="none" w:sz="0" w:space="0" w:color="auto"/>
        <w:bottom w:val="none" w:sz="0" w:space="0" w:color="auto"/>
        <w:right w:val="none" w:sz="0" w:space="0" w:color="auto"/>
      </w:divBdr>
    </w:div>
    <w:div w:id="1822581941">
      <w:bodyDiv w:val="1"/>
      <w:marLeft w:val="0"/>
      <w:marRight w:val="0"/>
      <w:marTop w:val="0"/>
      <w:marBottom w:val="0"/>
      <w:divBdr>
        <w:top w:val="none" w:sz="0" w:space="0" w:color="auto"/>
        <w:left w:val="none" w:sz="0" w:space="0" w:color="auto"/>
        <w:bottom w:val="none" w:sz="0" w:space="0" w:color="auto"/>
        <w:right w:val="none" w:sz="0" w:space="0" w:color="auto"/>
      </w:divBdr>
    </w:div>
    <w:div w:id="183031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yxf</dc:creator>
  <cp:lastModifiedBy>yxf</cp:lastModifiedBy>
  <cp:revision>3</cp:revision>
  <dcterms:created xsi:type="dcterms:W3CDTF">2023-03-08T02:51:00Z</dcterms:created>
  <dcterms:modified xsi:type="dcterms:W3CDTF">2023-03-08T03:09:00Z</dcterms:modified>
</cp:coreProperties>
</file>